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72A4" w14:textId="69430430" w:rsidR="0099719E" w:rsidRPr="0099719E" w:rsidRDefault="0099719E" w:rsidP="00BA651F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es-CR" w:eastAsia="es-ES_tradnl"/>
        </w:rPr>
      </w:pPr>
      <w:r w:rsidRPr="0099719E">
        <w:rPr>
          <w:rFonts w:eastAsia="Times New Roman"/>
          <w:b/>
          <w:bCs/>
          <w:kern w:val="36"/>
          <w:sz w:val="28"/>
          <w:szCs w:val="28"/>
          <w:lang w:val="es-CR" w:eastAsia="es-ES_tradnl"/>
        </w:rPr>
        <w:t>POLÍTICA DE CONFLICTOS DE INTERESES</w:t>
      </w:r>
      <w:r w:rsidR="00BA651F" w:rsidRPr="00BA651F">
        <w:rPr>
          <w:rFonts w:eastAsia="Times New Roman"/>
          <w:b/>
          <w:bCs/>
          <w:kern w:val="36"/>
          <w:sz w:val="28"/>
          <w:szCs w:val="28"/>
          <w:lang w:val="es-CR" w:eastAsia="es-ES_tradnl"/>
        </w:rPr>
        <w:t xml:space="preserve"> </w:t>
      </w:r>
      <w:r w:rsidRPr="0099719E">
        <w:rPr>
          <w:rFonts w:eastAsia="Times New Roman"/>
          <w:b/>
          <w:bCs/>
          <w:sz w:val="28"/>
          <w:szCs w:val="28"/>
          <w:lang w:val="es-CR" w:eastAsia="es-ES_tradnl"/>
        </w:rPr>
        <w:t>IPLEX</w:t>
      </w:r>
    </w:p>
    <w:p w14:paraId="647EAD28" w14:textId="77777777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1. Definición y alcance</w:t>
      </w:r>
    </w:p>
    <w:p w14:paraId="6AC5BE7B" w14:textId="632915EB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A efectos de esta política y del Código de Conducta, se entiende por conflicto de intereses toda situación en la que un interés privado influye, puede influir o aparenta influir en el cumplimiento imparcial, objetivo y transparente de los deberes y decisiones vinculadas al IPLEX, pudiendo generar una ventaja indebida para la persona o para alguien con quien mantiene una relación cercana.</w:t>
      </w:r>
    </w:p>
    <w:p w14:paraId="3F29648D" w14:textId="3A3ACE9C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Esta política se aplica a miembros de la Junta Directiva, integrantes de la Asamblea, personal empleado, personas asociadas, consultoras y cualquier otra persona que lleve a cabo tareas o proyectos en nombre del IPLEX.</w:t>
      </w:r>
    </w:p>
    <w:p w14:paraId="32035668" w14:textId="77777777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2. Definiciones</w:t>
      </w:r>
    </w:p>
    <w:p w14:paraId="45169DCF" w14:textId="7D150245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Las definiciones utilizadas en esta política son idénticas a las del Código de Conducta:</w:t>
      </w:r>
    </w:p>
    <w:p w14:paraId="0FB0F9B9" w14:textId="2109A381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Interés privado</w:t>
      </w:r>
      <w:r w:rsidRPr="0099719E">
        <w:rPr>
          <w:rFonts w:eastAsia="Times New Roman"/>
          <w:lang w:val="es-CR" w:eastAsia="es-ES_tradnl"/>
        </w:rPr>
        <w:t>: Cualquier beneficio, ventaja o expectativa de beneficio de carácter personal, familiar, económico, profesional, político, afectivo o de otra naturaleza que una persona vinculada al IPLEX, o una tercera persona con la que mantenga una relación cercana, pueda obtener como consecuencia de una decisión, actuación u omisión relacionada con el IPLEX.</w:t>
      </w:r>
      <w:r w:rsidR="00BA651F" w:rsidRPr="00BA651F">
        <w:rPr>
          <w:rFonts w:eastAsia="Times New Roman"/>
          <w:lang w:val="es-CR" w:eastAsia="es-ES_tradnl"/>
        </w:rPr>
        <w:t xml:space="preserve"> </w:t>
      </w:r>
      <w:r w:rsidRPr="0099719E">
        <w:rPr>
          <w:rFonts w:eastAsia="Times New Roman"/>
          <w:lang w:val="es-CR" w:eastAsia="es-ES_tradnl"/>
        </w:rPr>
        <w:t>​</w:t>
      </w:r>
    </w:p>
    <w:p w14:paraId="1368FAC9" w14:textId="09D25FA3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Relación cercana</w:t>
      </w:r>
      <w:r w:rsidRPr="0099719E">
        <w:rPr>
          <w:rFonts w:eastAsia="Times New Roman"/>
          <w:lang w:val="es-CR" w:eastAsia="es-ES_tradnl"/>
        </w:rPr>
        <w:t>: Vínculo que mantiene la persona con familiares por consanguinidad o afinidad hasta el segundo grado, parejas (cónyuge, persona conviviente o en unión de hecho), amistades estrechas u otras personas con las que existan lazos económicos, profesionales, afectivos o de confianza que razonablemente puedan generar un conflicto de intereses.</w:t>
      </w:r>
    </w:p>
    <w:p w14:paraId="3D69BCEC" w14:textId="66ABA689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Conflicto de intereses</w:t>
      </w:r>
      <w:r w:rsidRPr="0099719E">
        <w:rPr>
          <w:rFonts w:eastAsia="Times New Roman"/>
          <w:lang w:val="es-CR" w:eastAsia="es-ES_tradnl"/>
        </w:rPr>
        <w:t>: Situación en la que un interés privado influye, puede influir o aparenta influir en el cumplimiento imparcial, objetivo y transparente de los deberes y decisiones vinculadas al IPLEX.</w:t>
      </w:r>
    </w:p>
    <w:p w14:paraId="1C8183A7" w14:textId="6220CA0E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Puertas giratorias</w:t>
      </w:r>
      <w:r w:rsidRPr="0099719E">
        <w:rPr>
          <w:rFonts w:eastAsia="Times New Roman"/>
          <w:lang w:val="es-CR" w:eastAsia="es-ES_tradnl"/>
        </w:rPr>
        <w:t>: Riesgo de conflicto de intereses derivado de vínculos pasados o futuros entre una persona vinculada al IPLEX y otras organizaciones públicas o privadas, incluyendo situaciones en las que, al dejar el IPLEX o incorporarse a él, la persona mantiene o ha mantenido relaciones que puedan afectar la independencia de su juicio o generar ventajas indebidas.</w:t>
      </w:r>
    </w:p>
    <w:p w14:paraId="2FA44FF2" w14:textId="1EF477B2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El conflicto potencial de intereses puede mantenerse incluso después de que la persona deje de ser parte del IPLEX o de su Junta Directiva, por lo que se prestará atención a estos escenarios de puertas giratorias.</w:t>
      </w:r>
    </w:p>
    <w:p w14:paraId="4D9BCC2F" w14:textId="77777777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3. Principios generales</w:t>
      </w:r>
    </w:p>
    <w:p w14:paraId="70707594" w14:textId="77777777" w:rsidR="00BA651F" w:rsidRPr="00BA651F" w:rsidRDefault="0099719E" w:rsidP="00BA651F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Toda persona sujeta a esta política deberá: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0C81B615" w14:textId="1E850729" w:rsidR="0099719E" w:rsidRPr="00BA651F" w:rsidRDefault="0099719E" w:rsidP="00BA651F">
      <w:pPr>
        <w:pStyle w:val="Prrafodelista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BA651F">
        <w:rPr>
          <w:rFonts w:eastAsia="Times New Roman"/>
          <w:lang w:val="es-CR" w:eastAsia="es-ES_tradnl"/>
        </w:rPr>
        <w:t>Priorizar el interés institucional del IPLEX por encima de intereses personales o de terceros.</w:t>
      </w:r>
    </w:p>
    <w:p w14:paraId="6732FB00" w14:textId="77777777" w:rsidR="0099719E" w:rsidRPr="0099719E" w:rsidRDefault="0099719E" w:rsidP="00BA651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Revelar de forma oportuna, completa y veraz cualquier situación que pueda constituir un conflicto real, potencial o aparente de intereses.</w:t>
      </w:r>
    </w:p>
    <w:p w14:paraId="05DDCDEE" w14:textId="77777777" w:rsidR="00BA651F" w:rsidRPr="00BA651F" w:rsidRDefault="0099719E" w:rsidP="0099719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Abstenerse de intervenir en decisiones, discusiones o votaciones donde exista conflicto de intereses.</w:t>
      </w:r>
    </w:p>
    <w:p w14:paraId="47BA0263" w14:textId="75C9CFBC" w:rsidR="0099719E" w:rsidRPr="0099719E" w:rsidRDefault="0099719E" w:rsidP="00BA651F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 xml:space="preserve">Queda prohibido recibir retribuciones en especie o en dinero en ocasión o por el ejercicio de cargos, funciones o tareas encomendadas por el IPLEX, cuando estas puedan influir o aparentar influir en la </w:t>
      </w:r>
      <w:r w:rsidRPr="0099719E">
        <w:rPr>
          <w:rFonts w:eastAsia="Times New Roman"/>
          <w:lang w:val="es-CR" w:eastAsia="es-ES_tradnl"/>
        </w:rPr>
        <w:lastRenderedPageBreak/>
        <w:t>toma de decisiones, salvo reconocimientos o distinciones oficiales que no generen compromisos indebidos.</w:t>
      </w:r>
    </w:p>
    <w:p w14:paraId="45FA71AC" w14:textId="5A33609F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La Junta Directiva asumirá la decisión de dirimir posibles conflictos de interés, de oficio o ante cualquier duda razonable, sin perjuicio de las gestiones que pueda realizar la Fiscalía, cuyos resultados serán comunicados a la propia Junta.</w:t>
      </w:r>
    </w:p>
    <w:p w14:paraId="33E7A7EE" w14:textId="77777777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4. Declaración de intereses</w:t>
      </w:r>
    </w:p>
    <w:p w14:paraId="59222422" w14:textId="000EA163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La declaración de intereses es un instrumento esencial para la integridad institucional y la prevención de conflictos.</w:t>
      </w:r>
    </w:p>
    <w:p w14:paraId="0DD121EB" w14:textId="4C51FC7A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Deberá:</w:t>
      </w:r>
    </w:p>
    <w:p w14:paraId="2B0EE7A0" w14:textId="77777777" w:rsidR="0099719E" w:rsidRPr="0099719E" w:rsidRDefault="0099719E" w:rsidP="009971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Ser veraz, completa y útil para identificar posibles conflictos de interés, incluso si estos aún no se han materializado.</w:t>
      </w:r>
    </w:p>
    <w:p w14:paraId="75D8A1E4" w14:textId="77777777" w:rsidR="0099719E" w:rsidRPr="0099719E" w:rsidRDefault="0099719E" w:rsidP="009971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Actualizarse cuando cambien las circunstancias de forma que una situación previamente inocua pueda convertirse en un riesgo de conflicto.</w:t>
      </w:r>
    </w:p>
    <w:p w14:paraId="3EA58840" w14:textId="77777777" w:rsidR="00BA651F" w:rsidRPr="00BA651F" w:rsidRDefault="0099719E" w:rsidP="0099719E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Incluir los intereses de la persona declarante y los de quienes mantengan con ella una relación cercana, cuando puedan generar un conflicto real, potencial o aparente.</w:t>
      </w:r>
    </w:p>
    <w:p w14:paraId="62611D61" w14:textId="74F44FE7" w:rsidR="00BA651F" w:rsidRPr="00BA651F" w:rsidRDefault="0099719E" w:rsidP="00BA651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En atención al riesgo de puertas giratorias, la declaración de intereses deberá considerar vínculos pasados que, bajo determinadas circunstancias, puedan alertar de un posible conflicto.</w:t>
      </w:r>
    </w:p>
    <w:p w14:paraId="728B1F7D" w14:textId="14A39393" w:rsidR="0099719E" w:rsidRPr="0099719E" w:rsidRDefault="0099719E" w:rsidP="00BA651F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5. Contenido mínimo de la declaración</w:t>
      </w:r>
    </w:p>
    <w:p w14:paraId="5E43FFF6" w14:textId="304D2021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La declaración de intereses que debe presentar toda persona miembro de la Junta Directiva (y otras personas que así se definan en reglamento) deberá comprender, al menos: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71BF5C74" w14:textId="51A5D92E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a) Todas las relaciones laborales remuneradas actuales (salarios, dietas o servicios profesionales), permanentes o muy frecuentes, excluyendo consultorías cortas de menos de tres meses.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554AB10C" w14:textId="524A8144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b) Todas las relaciones no remuneradas con empresas u organizaciones sin fines de lucro (voluntariado, membresías, cargos directivos, etc.).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2D76EA35" w14:textId="3B5C69CC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c) La participación accionaria en sociedades cuando sea mayor al 10% del capital accionario, excluyendo compañías inactivas cuyo único fin sea registrar bienes.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4603CCB8" w14:textId="172634E0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d) En caso de personas pensionadas, el régimen que financia su jubilación.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1AD1840A" w14:textId="2FC73836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e) Los centros de trabajo en los que haya laborado durante los últimos ocho años.</w:t>
      </w:r>
    </w:p>
    <w:p w14:paraId="72C33B43" w14:textId="08C44A5C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f) Los intereses relevantes de personas con quienes la persona declarante mantenga una relación cercana y que puedan dar lugar a un conflicto real o potencial.</w:t>
      </w:r>
    </w:p>
    <w:p w14:paraId="46C56C0E" w14:textId="6D655D9F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g) La gestión de intereses (lobby, representación, asesoría u otras gestiones) que realice, remunerada o no, ante entidades públicas o privadas distintas de las que realiza en nombre del IPLEX.</w:t>
      </w:r>
    </w:p>
    <w:p w14:paraId="1ECF3286" w14:textId="64C5916C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lastRenderedPageBreak/>
        <w:t>h) La prohibición de recibir dádivas o regalos por el ejercicio o en ocasión del desempeño de funciones dentro del IPLEX, salvo reconocimientos o distinciones oficiales, siempre que no generen compromisos indebidos.</w:t>
      </w:r>
    </w:p>
    <w:p w14:paraId="0DD20591" w14:textId="0A68D566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i) El plazo para presentar la declaración: a más tardar un mes después del nombramiento y actualizarla dentro del mismo plazo cuando varíen los aspectos anteriores.</w:t>
      </w:r>
    </w:p>
    <w:p w14:paraId="4D2C38B5" w14:textId="72CF5283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j) La posibilidad de consultar a la Junta Directiva, por escrito o correo electrónico, en caso de duda sobre si determinada información debe o no declararse.</w:t>
      </w:r>
    </w:p>
    <w:p w14:paraId="348857F6" w14:textId="169D6F18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k) La obligación de la Junta Directiva de resolver los posibles conflictos de intereses detectados, de oficio o tras consulta, sin perjuicio de las actuaciones de la Fiscalía.</w:t>
      </w:r>
    </w:p>
    <w:p w14:paraId="6DA35AE5" w14:textId="77777777" w:rsidR="0099719E" w:rsidRPr="0099719E" w:rsidRDefault="0099719E" w:rsidP="0099719E">
      <w:pPr>
        <w:widowControl/>
        <w:autoSpaceDE/>
        <w:autoSpaceDN/>
        <w:spacing w:before="100" w:beforeAutospacing="1" w:after="100" w:afterAutospacing="1"/>
        <w:outlineLvl w:val="1"/>
        <w:rPr>
          <w:rFonts w:eastAsia="Times New Roman"/>
          <w:b/>
          <w:bCs/>
          <w:lang w:val="es-CR" w:eastAsia="es-ES_tradnl"/>
        </w:rPr>
      </w:pPr>
      <w:r w:rsidRPr="0099719E">
        <w:rPr>
          <w:rFonts w:eastAsia="Times New Roman"/>
          <w:b/>
          <w:bCs/>
          <w:lang w:val="es-CR" w:eastAsia="es-ES_tradnl"/>
        </w:rPr>
        <w:t>6. Formulario de declaración</w:t>
      </w:r>
    </w:p>
    <w:p w14:paraId="7B0950DD" w14:textId="77777777" w:rsidR="00BA651F" w:rsidRPr="00BA651F" w:rsidRDefault="0099719E" w:rsidP="00BA651F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El IPLEX utilizará un formulario estándar que incluirá, al menos:</w:t>
      </w:r>
      <w:r w:rsidR="00BA651F" w:rsidRPr="00BA651F">
        <w:rPr>
          <w:rFonts w:eastAsia="Times New Roman"/>
          <w:lang w:val="es-CR" w:eastAsia="es-ES_tradnl"/>
        </w:rPr>
        <w:t xml:space="preserve"> </w:t>
      </w:r>
    </w:p>
    <w:p w14:paraId="553434F4" w14:textId="1F2C2161" w:rsidR="0099719E" w:rsidRPr="00BA651F" w:rsidRDefault="0099719E" w:rsidP="00BA651F">
      <w:pPr>
        <w:pStyle w:val="Prrafodelista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BA651F">
        <w:rPr>
          <w:rFonts w:eastAsia="Times New Roman"/>
          <w:lang w:val="es-CR" w:eastAsia="es-ES_tradnl"/>
        </w:rPr>
        <w:t>Nombre y apellidos de la persona declarante.</w:t>
      </w:r>
    </w:p>
    <w:p w14:paraId="4EE055E6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Relaciones remuneradas actuales.</w:t>
      </w:r>
    </w:p>
    <w:p w14:paraId="0F4C298E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Relaciones remuneradas pasadas (últimos 8 años).</w:t>
      </w:r>
    </w:p>
    <w:p w14:paraId="77E2ED9F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Relaciones no remuneradas con empresas y organizaciones sin fines de lucro.</w:t>
      </w:r>
    </w:p>
    <w:p w14:paraId="57C2E013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Participación accionaria relevante.</w:t>
      </w:r>
    </w:p>
    <w:p w14:paraId="6A1B27B8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Régimen de jubilación (si aplica).</w:t>
      </w:r>
    </w:p>
    <w:p w14:paraId="2ECFB07C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Personas con las que mantiene una relación cercana relevante.</w:t>
      </w:r>
    </w:p>
    <w:p w14:paraId="70B25B70" w14:textId="77777777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Entidades ante las cuales gestiona intereses distintos a los del IPLEX.</w:t>
      </w:r>
    </w:p>
    <w:p w14:paraId="056AC217" w14:textId="6AD605AB" w:rsidR="0099719E" w:rsidRPr="0099719E" w:rsidRDefault="0099719E" w:rsidP="00BA651F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>Fecha y firma.</w:t>
      </w:r>
      <w:r w:rsidR="00BA651F" w:rsidRPr="00BA651F">
        <w:rPr>
          <w:rFonts w:eastAsia="Times New Roman"/>
          <w:lang w:val="es-CR" w:eastAsia="es-ES_tradnl"/>
        </w:rPr>
        <w:t xml:space="preserve"> </w:t>
      </w:r>
      <w:r w:rsidRPr="0099719E">
        <w:rPr>
          <w:rFonts w:eastAsia="Times New Roman"/>
          <w:lang w:val="es-CR" w:eastAsia="es-ES_tradnl"/>
        </w:rPr>
        <w:t>​</w:t>
      </w:r>
    </w:p>
    <w:p w14:paraId="4F1C3B34" w14:textId="5AC46B48" w:rsidR="0099719E" w:rsidRPr="0099719E" w:rsidRDefault="0099719E" w:rsidP="00BA651F">
      <w:pPr>
        <w:widowControl/>
        <w:autoSpaceDE/>
        <w:autoSpaceDN/>
        <w:spacing w:before="100" w:beforeAutospacing="1" w:after="100" w:afterAutospacing="1"/>
        <w:rPr>
          <w:rFonts w:eastAsia="Times New Roman"/>
          <w:lang w:val="es-CR" w:eastAsia="es-ES_tradnl"/>
        </w:rPr>
      </w:pPr>
      <w:r w:rsidRPr="0099719E">
        <w:rPr>
          <w:rFonts w:eastAsia="Times New Roman"/>
          <w:lang w:val="es-CR" w:eastAsia="es-ES_tradnl"/>
        </w:rPr>
        <w:t xml:space="preserve">Aprobada en la sesión ordinaria </w:t>
      </w:r>
      <w:proofErr w:type="spellStart"/>
      <w:r w:rsidRPr="0099719E">
        <w:rPr>
          <w:rFonts w:eastAsia="Times New Roman"/>
          <w:lang w:val="es-CR" w:eastAsia="es-ES_tradnl"/>
        </w:rPr>
        <w:t>N.°</w:t>
      </w:r>
      <w:proofErr w:type="spellEnd"/>
      <w:r w:rsidR="006868FA">
        <w:rPr>
          <w:rFonts w:eastAsia="Times New Roman"/>
          <w:lang w:val="es-CR" w:eastAsia="es-ES_tradnl"/>
        </w:rPr>
        <w:t xml:space="preserve"> 244 </w:t>
      </w:r>
      <w:r w:rsidRPr="0099719E">
        <w:rPr>
          <w:rFonts w:eastAsia="Times New Roman"/>
          <w:lang w:val="es-CR" w:eastAsia="es-ES_tradnl"/>
        </w:rPr>
        <w:t xml:space="preserve"> de la Junta Directiva del Instituto de Prensa y Libertad de Expresión (IPLEX), celebrada el día </w:t>
      </w:r>
      <w:r w:rsidR="006868FA">
        <w:rPr>
          <w:rFonts w:eastAsia="Times New Roman"/>
          <w:lang w:val="es-CR" w:eastAsia="es-ES_tradnl"/>
        </w:rPr>
        <w:t>23</w:t>
      </w:r>
      <w:r w:rsidRPr="0099719E">
        <w:rPr>
          <w:rFonts w:eastAsia="Times New Roman"/>
          <w:lang w:val="es-CR" w:eastAsia="es-ES_tradnl"/>
        </w:rPr>
        <w:t xml:space="preserve"> de </w:t>
      </w:r>
      <w:r w:rsidR="006868FA">
        <w:rPr>
          <w:rFonts w:eastAsia="Times New Roman"/>
          <w:lang w:val="es-CR" w:eastAsia="es-ES_tradnl"/>
        </w:rPr>
        <w:t xml:space="preserve">ENERO </w:t>
      </w:r>
      <w:r w:rsidRPr="0099719E">
        <w:rPr>
          <w:rFonts w:eastAsia="Times New Roman"/>
          <w:lang w:val="es-CR" w:eastAsia="es-ES_tradnl"/>
        </w:rPr>
        <w:t>de 20</w:t>
      </w:r>
      <w:r w:rsidR="006868FA">
        <w:rPr>
          <w:rFonts w:eastAsia="Times New Roman"/>
          <w:lang w:val="es-CR" w:eastAsia="es-ES_tradnl"/>
        </w:rPr>
        <w:t>26.</w:t>
      </w:r>
    </w:p>
    <w:p w14:paraId="3E7705F3" w14:textId="77777777" w:rsidR="008756BB" w:rsidRPr="00BA651F" w:rsidRDefault="008756BB" w:rsidP="0099719E">
      <w:pPr>
        <w:rPr>
          <w:lang w:val="es-CR"/>
        </w:rPr>
      </w:pPr>
    </w:p>
    <w:p w14:paraId="2B552645" w14:textId="77777777" w:rsidR="00BA651F" w:rsidRPr="006868FA" w:rsidRDefault="00BA651F">
      <w:pPr>
        <w:rPr>
          <w:lang w:val="es-ES_tradnl"/>
        </w:rPr>
      </w:pPr>
    </w:p>
    <w:sectPr w:rsidR="00BA651F" w:rsidRPr="006868FA" w:rsidSect="00CA2875">
      <w:headerReference w:type="default" r:id="rId7"/>
      <w:pgSz w:w="12240" w:h="15840"/>
      <w:pgMar w:top="2800" w:right="708" w:bottom="280" w:left="85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BB46" w14:textId="77777777" w:rsidR="004558A0" w:rsidRDefault="004558A0">
      <w:r>
        <w:separator/>
      </w:r>
    </w:p>
  </w:endnote>
  <w:endnote w:type="continuationSeparator" w:id="0">
    <w:p w14:paraId="24A79EF6" w14:textId="77777777" w:rsidR="004558A0" w:rsidRDefault="0045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7A28" w14:textId="77777777" w:rsidR="004558A0" w:rsidRDefault="004558A0">
      <w:r>
        <w:separator/>
      </w:r>
    </w:p>
  </w:footnote>
  <w:footnote w:type="continuationSeparator" w:id="0">
    <w:p w14:paraId="55E1C229" w14:textId="77777777" w:rsidR="004558A0" w:rsidRDefault="0045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C0DC" w14:textId="37D7B725" w:rsidR="00E742D7" w:rsidRDefault="00066B96">
    <w:pPr>
      <w:pStyle w:val="Textoindependiente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6999DA5C" wp14:editId="4E5AE60B">
          <wp:extent cx="1470481" cy="1052607"/>
          <wp:effectExtent l="0" t="0" r="0" b="0"/>
          <wp:docPr id="2" name="Image 2" descr="Logotipo, nombre de la empres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tipo, nombre de la empres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0481" cy="105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385"/>
    <w:multiLevelType w:val="multilevel"/>
    <w:tmpl w:val="885A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5052"/>
    <w:multiLevelType w:val="hybridMultilevel"/>
    <w:tmpl w:val="4A563A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31EA"/>
    <w:multiLevelType w:val="hybridMultilevel"/>
    <w:tmpl w:val="58E8141C"/>
    <w:lvl w:ilvl="0" w:tplc="BA5E2EB8">
      <w:start w:val="1"/>
      <w:numFmt w:val="decimal"/>
      <w:lvlText w:val="%1."/>
      <w:lvlJc w:val="left"/>
      <w:pPr>
        <w:ind w:left="15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D3DE9AA0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2" w:tplc="74AAFCCE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3" w:tplc="132E1330">
      <w:numFmt w:val="bullet"/>
      <w:lvlText w:val="•"/>
      <w:lvlJc w:val="left"/>
      <w:pPr>
        <w:ind w:left="4210" w:hanging="360"/>
      </w:pPr>
      <w:rPr>
        <w:rFonts w:hint="default"/>
        <w:lang w:val="es-ES" w:eastAsia="en-US" w:bidi="ar-SA"/>
      </w:rPr>
    </w:lvl>
    <w:lvl w:ilvl="4" w:tplc="6128D7B0"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5" w:tplc="2F400E24">
      <w:numFmt w:val="bullet"/>
      <w:lvlText w:val="•"/>
      <w:lvlJc w:val="left"/>
      <w:pPr>
        <w:ind w:left="5964" w:hanging="360"/>
      </w:pPr>
      <w:rPr>
        <w:rFonts w:hint="default"/>
        <w:lang w:val="es-ES" w:eastAsia="en-US" w:bidi="ar-SA"/>
      </w:rPr>
    </w:lvl>
    <w:lvl w:ilvl="6" w:tplc="C4AA3978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7" w:tplc="1AD6F216">
      <w:numFmt w:val="bullet"/>
      <w:lvlText w:val="•"/>
      <w:lvlJc w:val="left"/>
      <w:pPr>
        <w:ind w:left="7717" w:hanging="360"/>
      </w:pPr>
      <w:rPr>
        <w:rFonts w:hint="default"/>
        <w:lang w:val="es-ES" w:eastAsia="en-US" w:bidi="ar-SA"/>
      </w:rPr>
    </w:lvl>
    <w:lvl w:ilvl="8" w:tplc="D9C86034">
      <w:numFmt w:val="bullet"/>
      <w:lvlText w:val="•"/>
      <w:lvlJc w:val="left"/>
      <w:pPr>
        <w:ind w:left="859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ACD1B7A"/>
    <w:multiLevelType w:val="multilevel"/>
    <w:tmpl w:val="7D74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C6DFB"/>
    <w:multiLevelType w:val="hybridMultilevel"/>
    <w:tmpl w:val="E8803B2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748D1"/>
    <w:multiLevelType w:val="multilevel"/>
    <w:tmpl w:val="9C7A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575C3"/>
    <w:multiLevelType w:val="multilevel"/>
    <w:tmpl w:val="0172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33AD4"/>
    <w:multiLevelType w:val="hybridMultilevel"/>
    <w:tmpl w:val="460222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E7A2F"/>
    <w:multiLevelType w:val="hybridMultilevel"/>
    <w:tmpl w:val="8A7E725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81254"/>
    <w:multiLevelType w:val="multilevel"/>
    <w:tmpl w:val="CE2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037434">
    <w:abstractNumId w:val="2"/>
  </w:num>
  <w:num w:numId="2" w16cid:durableId="1423719761">
    <w:abstractNumId w:val="1"/>
  </w:num>
  <w:num w:numId="3" w16cid:durableId="1104423356">
    <w:abstractNumId w:val="8"/>
  </w:num>
  <w:num w:numId="4" w16cid:durableId="480586407">
    <w:abstractNumId w:val="9"/>
  </w:num>
  <w:num w:numId="5" w16cid:durableId="940911818">
    <w:abstractNumId w:val="3"/>
  </w:num>
  <w:num w:numId="6" w16cid:durableId="264576239">
    <w:abstractNumId w:val="0"/>
  </w:num>
  <w:num w:numId="7" w16cid:durableId="1687562766">
    <w:abstractNumId w:val="6"/>
  </w:num>
  <w:num w:numId="8" w16cid:durableId="1317685489">
    <w:abstractNumId w:val="5"/>
  </w:num>
  <w:num w:numId="9" w16cid:durableId="446897671">
    <w:abstractNumId w:val="4"/>
  </w:num>
  <w:num w:numId="10" w16cid:durableId="953754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D7"/>
    <w:rsid w:val="00066B96"/>
    <w:rsid w:val="003F3786"/>
    <w:rsid w:val="004558A0"/>
    <w:rsid w:val="006868FA"/>
    <w:rsid w:val="008756BB"/>
    <w:rsid w:val="008E6A93"/>
    <w:rsid w:val="0099719E"/>
    <w:rsid w:val="009A29C3"/>
    <w:rsid w:val="00B207EF"/>
    <w:rsid w:val="00BA651F"/>
    <w:rsid w:val="00CA2875"/>
    <w:rsid w:val="00E31068"/>
    <w:rsid w:val="00E742D7"/>
    <w:rsid w:val="00FA0032"/>
    <w:rsid w:val="00FA1133"/>
    <w:rsid w:val="00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E659"/>
  <w15:docId w15:val="{4E2A53D1-90AC-5A4D-8A2E-58C73EFA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99719E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R" w:eastAsia="es-ES_tradnl"/>
    </w:rPr>
  </w:style>
  <w:style w:type="paragraph" w:styleId="Ttulo2">
    <w:name w:val="heading 2"/>
    <w:basedOn w:val="Normal"/>
    <w:link w:val="Ttulo2Car"/>
    <w:uiPriority w:val="9"/>
    <w:qFormat/>
    <w:rsid w:val="0099719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50" w:right="5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5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20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7E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0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7EF"/>
    <w:rPr>
      <w:rFonts w:ascii="Arial" w:eastAsia="Arial" w:hAnsi="Arial" w:cs="Arial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9719E"/>
    <w:rPr>
      <w:rFonts w:ascii="Times New Roman" w:eastAsia="Times New Roman" w:hAnsi="Times New Roman" w:cs="Times New Roman"/>
      <w:b/>
      <w:bCs/>
      <w:kern w:val="36"/>
      <w:sz w:val="48"/>
      <w:szCs w:val="48"/>
      <w:lang w:val="es-CR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9719E"/>
    <w:rPr>
      <w:rFonts w:ascii="Times New Roman" w:eastAsia="Times New Roman" w:hAnsi="Times New Roman" w:cs="Times New Roman"/>
      <w:b/>
      <w:bCs/>
      <w:sz w:val="36"/>
      <w:szCs w:val="36"/>
      <w:lang w:val="es-CR" w:eastAsia="es-ES_tradnl"/>
    </w:rPr>
  </w:style>
  <w:style w:type="paragraph" w:customStyle="1" w:styleId="my-2">
    <w:name w:val="my-2"/>
    <w:basedOn w:val="Normal"/>
    <w:rsid w:val="009971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R" w:eastAsia="es-ES_tradnl"/>
    </w:rPr>
  </w:style>
  <w:style w:type="character" w:styleId="Textoennegrita">
    <w:name w:val="Strong"/>
    <w:basedOn w:val="Fuentedeprrafopredeter"/>
    <w:uiPriority w:val="22"/>
    <w:qFormat/>
    <w:rsid w:val="0099719E"/>
    <w:rPr>
      <w:b/>
      <w:bCs/>
    </w:rPr>
  </w:style>
  <w:style w:type="character" w:customStyle="1" w:styleId="inline-flex">
    <w:name w:val="inline-flex"/>
    <w:basedOn w:val="Fuentedeprrafopredeter"/>
    <w:rsid w:val="0099719E"/>
  </w:style>
  <w:style w:type="character" w:customStyle="1" w:styleId="relative">
    <w:name w:val="relative"/>
    <w:basedOn w:val="Fuentedeprrafopredeter"/>
    <w:rsid w:val="0099719E"/>
  </w:style>
  <w:style w:type="character" w:customStyle="1" w:styleId="opacity-50">
    <w:name w:val="opacity-50"/>
    <w:basedOn w:val="Fuentedeprrafopredeter"/>
    <w:rsid w:val="0099719E"/>
  </w:style>
  <w:style w:type="character" w:styleId="Hipervnculo">
    <w:name w:val="Hyperlink"/>
    <w:basedOn w:val="Fuentedeprrafopredeter"/>
    <w:uiPriority w:val="99"/>
    <w:semiHidden/>
    <w:unhideWhenUsed/>
    <w:rsid w:val="00997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jimmy.bolanos</dc:creator>
  <cp:lastModifiedBy>Raul Silesky</cp:lastModifiedBy>
  <cp:revision>7</cp:revision>
  <dcterms:created xsi:type="dcterms:W3CDTF">2025-11-27T19:12:00Z</dcterms:created>
  <dcterms:modified xsi:type="dcterms:W3CDTF">2026-01-23T22:52:00Z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2016</vt:lpwstr>
  </property>
</Properties>
</file>