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E2E7" w14:textId="53CE87CB" w:rsidR="006C2186" w:rsidRPr="001B735F" w:rsidRDefault="00763730" w:rsidP="001B735F">
      <w:pPr>
        <w:ind w:left="113" w:right="113"/>
        <w:jc w:val="both"/>
      </w:pPr>
      <w:r w:rsidRPr="001B735F">
        <w:rPr>
          <w:noProof/>
        </w:rPr>
        <w:drawing>
          <wp:inline distT="0" distB="0" distL="0" distR="0" wp14:anchorId="353C499E" wp14:editId="64E10830">
            <wp:extent cx="1470481" cy="1052607"/>
            <wp:effectExtent l="0" t="0" r="0" b="0"/>
            <wp:docPr id="2" name="Image 2" descr="Logotipo, nombre de la empresa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, nombre de la empresa&#10;&#10;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481" cy="105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7205D" w14:textId="77777777" w:rsidR="00763730" w:rsidRPr="001B735F" w:rsidRDefault="00763730" w:rsidP="001B735F">
      <w:pPr>
        <w:ind w:left="113" w:right="113"/>
        <w:jc w:val="both"/>
      </w:pPr>
    </w:p>
    <w:p w14:paraId="1045A1F2" w14:textId="77777777" w:rsidR="006C2186" w:rsidRPr="001B735F" w:rsidRDefault="006C2186" w:rsidP="001B735F">
      <w:pPr>
        <w:pStyle w:val="Ttulo1"/>
        <w:ind w:left="113" w:right="113"/>
        <w:jc w:val="center"/>
      </w:pPr>
      <w:r w:rsidRPr="001B735F">
        <w:t>CÓDIGO DE CONDUCTA DE LAS PERSONAS ASOCIADAS AL IPLEX</w:t>
      </w:r>
    </w:p>
    <w:p w14:paraId="1FCC20C2" w14:textId="77777777" w:rsidR="006C2186" w:rsidRPr="001B735F" w:rsidRDefault="006C2186" w:rsidP="001B735F">
      <w:pPr>
        <w:pStyle w:val="Ttulo1"/>
        <w:ind w:left="113" w:right="113"/>
        <w:jc w:val="both"/>
      </w:pPr>
    </w:p>
    <w:p w14:paraId="15CF4810" w14:textId="77777777" w:rsid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El Instituto de Prensa y Libertad de Expresión (IPLEX) se compromete a salvaguardar un entorno de trabajo ético, seguro, respetuoso e inclusivo para todas las personas que colaboran con la organización.</w:t>
      </w:r>
    </w:p>
    <w:p w14:paraId="33E2619A" w14:textId="3E6DCFF2" w:rsid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 xml:space="preserve"> </w:t>
      </w:r>
      <w:r w:rsidRPr="0099719E">
        <w:rPr>
          <w:rFonts w:eastAsia="Times New Roman"/>
          <w:lang w:val="es-CR" w:eastAsia="es-ES_tradnl"/>
        </w:rPr>
        <w:br/>
        <w:t>Este Código de Conducta (en adelante, “el Código”) expresa los valores y principios rectores del IPLEX, tal y como aparecen en sus estatutos, y establece las normas de conducta que se espera que respeten quienes trabajan y colaboran con la Asociación.</w:t>
      </w:r>
    </w:p>
    <w:p w14:paraId="11507618" w14:textId="77777777" w:rsidR="001B735F" w:rsidRPr="0099719E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</w:p>
    <w:p w14:paraId="0EC71AD4" w14:textId="77777777" w:rsidR="001B735F" w:rsidRDefault="001B735F" w:rsidP="001B735F">
      <w:pPr>
        <w:widowControl/>
        <w:autoSpaceDE/>
        <w:autoSpaceDN/>
        <w:ind w:left="113" w:right="113"/>
        <w:jc w:val="both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Ámbito de aplicación</w:t>
      </w:r>
    </w:p>
    <w:p w14:paraId="67D14C75" w14:textId="77777777" w:rsidR="001B735F" w:rsidRPr="0099719E" w:rsidRDefault="001B735F" w:rsidP="001B735F">
      <w:pPr>
        <w:widowControl/>
        <w:autoSpaceDE/>
        <w:autoSpaceDN/>
        <w:ind w:left="113" w:right="113"/>
        <w:jc w:val="both"/>
        <w:outlineLvl w:val="1"/>
        <w:rPr>
          <w:rFonts w:eastAsia="Times New Roman"/>
          <w:b/>
          <w:bCs/>
          <w:lang w:val="es-CR" w:eastAsia="es-ES_tradnl"/>
        </w:rPr>
      </w:pPr>
    </w:p>
    <w:p w14:paraId="398CA92D" w14:textId="77777777" w:rsid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Este Código se aplica a toda persona que trabaje para IPLEX o bajo cualquier tipo de contrato o acuerdo con la Asociación, incluidas personas empleadas actuales o potenciales, integrantes de la Junta Directiva, personal directivo, personas asociadas, practicantes, contratistas, voluntariado y consultoras.</w:t>
      </w:r>
    </w:p>
    <w:p w14:paraId="79904540" w14:textId="77777777" w:rsid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 xml:space="preserve"> </w:t>
      </w:r>
      <w:r w:rsidRPr="0099719E">
        <w:rPr>
          <w:rFonts w:eastAsia="Times New Roman"/>
          <w:lang w:val="es-CR" w:eastAsia="es-ES_tradnl"/>
        </w:rPr>
        <w:br/>
        <w:t>IPLEX reconoce y respeta el derecho de su personal y de las personas asociadas a la vida privada, pero también reconoce que la conducta privada puede afectar la integridad y la reputación de la organización.</w:t>
      </w:r>
    </w:p>
    <w:p w14:paraId="075CEE3E" w14:textId="64430128" w:rsid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 xml:space="preserve"> </w:t>
      </w:r>
      <w:r w:rsidRPr="0099719E">
        <w:rPr>
          <w:rFonts w:eastAsia="Times New Roman"/>
          <w:lang w:val="es-CR" w:eastAsia="es-ES_tradnl"/>
        </w:rPr>
        <w:br/>
        <w:t>La conducta que viole el Código o la ley será considerada una “violación de la integridad” y puede constituir motivo de medidas disciplinarias y/o correctivas inmediatas, de conformidad con los estatutos y reglamentos internos.</w:t>
      </w:r>
    </w:p>
    <w:p w14:paraId="3EA6486F" w14:textId="77777777" w:rsidR="001B735F" w:rsidRPr="0099719E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</w:p>
    <w:p w14:paraId="132C6EFB" w14:textId="710B6276" w:rsid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Todas las personas sujetas a este Código deben leerlo y comprometerse a cumplir con las normas de conducta aquí detalladas, firmando la declaración de acatamiento correspondiente.</w:t>
      </w:r>
    </w:p>
    <w:p w14:paraId="01A84845" w14:textId="77777777" w:rsidR="001B735F" w:rsidRPr="0099719E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</w:p>
    <w:p w14:paraId="2AAA5E57" w14:textId="77777777" w:rsidR="001B735F" w:rsidRDefault="001B735F" w:rsidP="001B735F">
      <w:pPr>
        <w:widowControl/>
        <w:autoSpaceDE/>
        <w:autoSpaceDN/>
        <w:ind w:left="113" w:right="113"/>
        <w:jc w:val="both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Definiciones</w:t>
      </w:r>
    </w:p>
    <w:p w14:paraId="1F113E02" w14:textId="77777777" w:rsidR="001B735F" w:rsidRPr="0099719E" w:rsidRDefault="001B735F" w:rsidP="001B735F">
      <w:pPr>
        <w:widowControl/>
        <w:autoSpaceDE/>
        <w:autoSpaceDN/>
        <w:ind w:left="113" w:right="113"/>
        <w:jc w:val="both"/>
        <w:outlineLvl w:val="1"/>
        <w:rPr>
          <w:rFonts w:eastAsia="Times New Roman"/>
          <w:b/>
          <w:bCs/>
          <w:lang w:val="es-CR" w:eastAsia="es-ES_tradnl"/>
        </w:rPr>
      </w:pPr>
    </w:p>
    <w:p w14:paraId="64F1EA33" w14:textId="5CCD31EA" w:rsidR="001B735F" w:rsidRPr="0099719E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Las siguientes definiciones se aplican tanto a este Código como a la Política de Conflictos de Intereses del IPLEX:</w:t>
      </w:r>
    </w:p>
    <w:p w14:paraId="2FB28204" w14:textId="4700D153" w:rsidR="001B735F" w:rsidRPr="001B735F" w:rsidRDefault="001B735F" w:rsidP="001B735F">
      <w:pPr>
        <w:pStyle w:val="Prrafodelista"/>
        <w:widowControl/>
        <w:numPr>
          <w:ilvl w:val="0"/>
          <w:numId w:val="28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b/>
          <w:bCs/>
          <w:lang w:val="es-CR" w:eastAsia="es-ES_tradnl"/>
        </w:rPr>
        <w:t>Interés privado</w:t>
      </w:r>
      <w:r w:rsidRPr="001B735F">
        <w:rPr>
          <w:rFonts w:eastAsia="Times New Roman"/>
          <w:lang w:val="es-CR" w:eastAsia="es-ES_tradnl"/>
        </w:rPr>
        <w:t>: Cualquier beneficio, ventaja o expectativa de beneficio de carácter personal, familiar, económico, profesional, político, afectivo o de otra naturaleza que una persona vinculada al IPLEX, o una tercera persona con la que mantenga una relación cercana, pueda obtener como consecuencia de una decisión, actuación u omisión relacionada con el IPLEX.</w:t>
      </w:r>
    </w:p>
    <w:p w14:paraId="6E32A4F9" w14:textId="056B2589" w:rsidR="001B735F" w:rsidRPr="001B735F" w:rsidRDefault="001B735F" w:rsidP="001B735F">
      <w:pPr>
        <w:pStyle w:val="Prrafodelista"/>
        <w:widowControl/>
        <w:numPr>
          <w:ilvl w:val="0"/>
          <w:numId w:val="28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b/>
          <w:bCs/>
          <w:lang w:val="es-CR" w:eastAsia="es-ES_tradnl"/>
        </w:rPr>
        <w:t>Relación cercana</w:t>
      </w:r>
      <w:r w:rsidRPr="001B735F">
        <w:rPr>
          <w:rFonts w:eastAsia="Times New Roman"/>
          <w:lang w:val="es-CR" w:eastAsia="es-ES_tradnl"/>
        </w:rPr>
        <w:t>: Vínculo que mantiene la persona con familiares por consanguinidad o afinidad hasta el segundo grado, parejas (cónyuge, persona conviviente o en unión de hecho), amistades estrechas u otras personas con las que existan lazos económicos, profesionales, afectivos o de confianza que razonablemente puedan generar un conflicto de intereses.</w:t>
      </w:r>
    </w:p>
    <w:p w14:paraId="27EFD646" w14:textId="7A8BBE13" w:rsidR="001B735F" w:rsidRPr="001B735F" w:rsidRDefault="001B735F" w:rsidP="001B735F">
      <w:pPr>
        <w:pStyle w:val="Prrafodelista"/>
        <w:widowControl/>
        <w:numPr>
          <w:ilvl w:val="0"/>
          <w:numId w:val="28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b/>
          <w:bCs/>
          <w:lang w:val="es-CR" w:eastAsia="es-ES_tradnl"/>
        </w:rPr>
        <w:lastRenderedPageBreak/>
        <w:t>Conflicto de intereses</w:t>
      </w:r>
      <w:r w:rsidRPr="001B735F">
        <w:rPr>
          <w:rFonts w:eastAsia="Times New Roman"/>
          <w:lang w:val="es-CR" w:eastAsia="es-ES_tradnl"/>
        </w:rPr>
        <w:t>: Situación en la que un interés privado influye, puede influir o aparenta influir en el cumplimiento imparcial, objetivo y transparente de los deberes y decisiones vinculadas al IPLEX, pudiendo generar una ventaja indebida para la persona o para alguien con quien mantiene una relación cercana.</w:t>
      </w:r>
    </w:p>
    <w:p w14:paraId="36FC11F9" w14:textId="5E07DFC7" w:rsidR="001B735F" w:rsidRDefault="001B735F" w:rsidP="001B735F">
      <w:pPr>
        <w:pStyle w:val="Prrafodelista"/>
        <w:widowControl/>
        <w:numPr>
          <w:ilvl w:val="0"/>
          <w:numId w:val="28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b/>
          <w:bCs/>
          <w:lang w:val="es-CR" w:eastAsia="es-ES_tradnl"/>
        </w:rPr>
        <w:t>Puertas giratorias</w:t>
      </w:r>
      <w:r w:rsidRPr="001B735F">
        <w:rPr>
          <w:rFonts w:eastAsia="Times New Roman"/>
          <w:lang w:val="es-CR" w:eastAsia="es-ES_tradnl"/>
        </w:rPr>
        <w:t>: Riesgo de conflicto de intereses derivado de vínculos pasados o futuros entre una persona vinculada al IPLEX y otras organizaciones públicas o privadas, incluyendo situaciones en las que, al dejar el IPLEX o incorporarse a él, la persona mantiene o ha mantenido relaciones que puedan afectar la independencia de su juicio o generar ventajas indebidas.</w:t>
      </w:r>
    </w:p>
    <w:p w14:paraId="300DAC7B" w14:textId="77777777" w:rsidR="001B735F" w:rsidRPr="001B735F" w:rsidRDefault="001B735F" w:rsidP="001B735F">
      <w:pPr>
        <w:pStyle w:val="Prrafodelista"/>
        <w:widowControl/>
        <w:autoSpaceDE/>
        <w:autoSpaceDN/>
        <w:ind w:left="833" w:right="113" w:firstLine="0"/>
        <w:jc w:val="both"/>
        <w:rPr>
          <w:rFonts w:eastAsia="Times New Roman"/>
          <w:lang w:val="es-CR" w:eastAsia="es-ES_tradnl"/>
        </w:rPr>
      </w:pPr>
    </w:p>
    <w:p w14:paraId="7F4A4F6D" w14:textId="77777777" w:rsidR="001B735F" w:rsidRDefault="001B735F" w:rsidP="001B735F">
      <w:pPr>
        <w:widowControl/>
        <w:autoSpaceDE/>
        <w:autoSpaceDN/>
        <w:ind w:left="113" w:right="113"/>
        <w:jc w:val="both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Normas fundamentales de conducta</w:t>
      </w:r>
    </w:p>
    <w:p w14:paraId="7CB98B7A" w14:textId="77777777" w:rsidR="001B735F" w:rsidRPr="0099719E" w:rsidRDefault="001B735F" w:rsidP="001B735F">
      <w:pPr>
        <w:widowControl/>
        <w:autoSpaceDE/>
        <w:autoSpaceDN/>
        <w:ind w:left="113" w:right="113"/>
        <w:jc w:val="both"/>
        <w:outlineLvl w:val="1"/>
        <w:rPr>
          <w:rFonts w:eastAsia="Times New Roman"/>
          <w:b/>
          <w:bCs/>
          <w:lang w:val="es-CR" w:eastAsia="es-ES_tradnl"/>
        </w:rPr>
      </w:pPr>
    </w:p>
    <w:p w14:paraId="60D5FDDC" w14:textId="6F20BF50" w:rsidR="001B735F" w:rsidRPr="0099719E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En IPLEX, cada persona es responsable de contribuir a un entorno ético, seguro, respetuoso e inclusivo con su forma de actuar.</w:t>
      </w:r>
    </w:p>
    <w:p w14:paraId="0C78C51B" w14:textId="6A29BB23" w:rsidR="001B735F" w:rsidRPr="001B735F" w:rsidRDefault="001B735F" w:rsidP="001B735F">
      <w:pPr>
        <w:pStyle w:val="Prrafodelista"/>
        <w:widowControl/>
        <w:numPr>
          <w:ilvl w:val="0"/>
          <w:numId w:val="31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>Defender la integridad y la reputación del IPLEX, procurando que la conducta profesional y personal sea coherente con la misión, la visión y los valores de la Asociación.</w:t>
      </w:r>
    </w:p>
    <w:p w14:paraId="102E4AAB" w14:textId="05002F88" w:rsidR="001B735F" w:rsidRPr="001B735F" w:rsidRDefault="001B735F" w:rsidP="001B735F">
      <w:pPr>
        <w:pStyle w:val="Prrafodelista"/>
        <w:widowControl/>
        <w:numPr>
          <w:ilvl w:val="0"/>
          <w:numId w:val="31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>Tratar a todas las personas con respeto y equidad, reconociendo la diversidad y promoviendo la inclusión.</w:t>
      </w:r>
    </w:p>
    <w:p w14:paraId="5AF33BE4" w14:textId="33782AD6" w:rsidR="001B735F" w:rsidRPr="001B735F" w:rsidRDefault="001B735F" w:rsidP="001B735F">
      <w:pPr>
        <w:pStyle w:val="Prrafodelista"/>
        <w:widowControl/>
        <w:numPr>
          <w:ilvl w:val="0"/>
          <w:numId w:val="31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>Actuar de forma proactiva para prevenir y combatir cualquier forma de acoso, discriminación, explotación o abuso.</w:t>
      </w:r>
    </w:p>
    <w:p w14:paraId="404D7564" w14:textId="4AAA0337" w:rsidR="001B735F" w:rsidRPr="001B735F" w:rsidRDefault="001B735F" w:rsidP="001B735F">
      <w:pPr>
        <w:pStyle w:val="Prrafodelista"/>
        <w:widowControl/>
        <w:numPr>
          <w:ilvl w:val="0"/>
          <w:numId w:val="31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>Desempeñar las responsabilidades laborales y la vida privada de manera que se prevengan conflictos de intereses reales, potenciales o aparentes, entendidos como situaciones en las que un interés privado propio o de una relación cercana pueda afectar, o parezca afectar, la imparcialidad y objetividad de las decisiones vinculadas al IPLEX.</w:t>
      </w:r>
    </w:p>
    <w:p w14:paraId="769D55D1" w14:textId="45FB7954" w:rsidR="001B735F" w:rsidRPr="001B735F" w:rsidRDefault="001B735F" w:rsidP="001B735F">
      <w:pPr>
        <w:pStyle w:val="Prrafodelista"/>
        <w:widowControl/>
        <w:numPr>
          <w:ilvl w:val="0"/>
          <w:numId w:val="31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>Desempeñar las funciones con diligencia y responsabilidad, siendo honestas, concienzudas, transparentes y responsables en el uso de la información, el equipo, los fondos y los recursos.</w:t>
      </w:r>
    </w:p>
    <w:p w14:paraId="0CF220A0" w14:textId="76C21377" w:rsidR="001B735F" w:rsidRPr="001B735F" w:rsidRDefault="001B735F" w:rsidP="001B735F">
      <w:pPr>
        <w:pStyle w:val="Prrafodelista"/>
        <w:widowControl/>
        <w:numPr>
          <w:ilvl w:val="0"/>
          <w:numId w:val="31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>Proteger la salud, la seguridad y el bienestar de las demás personas y minimizar el impacto ambiental de las actividades vinculadas a IPLEX.</w:t>
      </w:r>
    </w:p>
    <w:p w14:paraId="3FDA4A9B" w14:textId="0A550AD8" w:rsidR="001B735F" w:rsidRPr="001B735F" w:rsidRDefault="001B735F" w:rsidP="001B735F">
      <w:pPr>
        <w:pStyle w:val="Prrafodelista"/>
        <w:widowControl/>
        <w:numPr>
          <w:ilvl w:val="0"/>
          <w:numId w:val="31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>Cumplir con la legislación aplicable y con los códigos legales pertinentes.</w:t>
      </w:r>
    </w:p>
    <w:p w14:paraId="346CE3CB" w14:textId="33076F78" w:rsidR="001B735F" w:rsidRPr="001B735F" w:rsidRDefault="001B735F" w:rsidP="001B735F">
      <w:pPr>
        <w:pStyle w:val="Prrafodelista"/>
        <w:widowControl/>
        <w:numPr>
          <w:ilvl w:val="0"/>
          <w:numId w:val="31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>Apoyar y proteger activamente a quienes sufran o denuncien infracciones de estas normas.</w:t>
      </w:r>
    </w:p>
    <w:p w14:paraId="506BA129" w14:textId="02BB8B2D" w:rsidR="001B735F" w:rsidRDefault="001B735F" w:rsidP="001B735F">
      <w:pPr>
        <w:pStyle w:val="Prrafodelista"/>
        <w:widowControl/>
        <w:numPr>
          <w:ilvl w:val="0"/>
          <w:numId w:val="31"/>
        </w:numPr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1B735F">
        <w:rPr>
          <w:rFonts w:eastAsia="Times New Roman"/>
          <w:lang w:val="es-CR" w:eastAsia="es-ES_tradnl"/>
        </w:rPr>
        <w:t>Quienes ejerzan funciones de dirección deberán liderar con el ejemplo, fomentando y manteniendo una cultura de ética e integridad.</w:t>
      </w:r>
    </w:p>
    <w:p w14:paraId="5CEA6505" w14:textId="77777777" w:rsidR="001B735F" w:rsidRPr="001B735F" w:rsidRDefault="001B735F" w:rsidP="001B735F">
      <w:pPr>
        <w:pStyle w:val="Prrafodelista"/>
        <w:widowControl/>
        <w:autoSpaceDE/>
        <w:autoSpaceDN/>
        <w:ind w:left="833" w:right="113" w:firstLine="0"/>
        <w:jc w:val="both"/>
        <w:rPr>
          <w:rFonts w:eastAsia="Times New Roman"/>
          <w:lang w:val="es-CR" w:eastAsia="es-ES_tradnl"/>
        </w:rPr>
      </w:pPr>
    </w:p>
    <w:p w14:paraId="4C12877F" w14:textId="53D628A3" w:rsid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Para facilitar la aplicación de estas normas, el Código incluye directrices específicas sobre:</w:t>
      </w:r>
      <w:r w:rsidRPr="001B735F">
        <w:rPr>
          <w:rFonts w:eastAsia="Times New Roman"/>
          <w:lang w:val="es-CR" w:eastAsia="es-ES_tradnl"/>
        </w:rPr>
        <w:t xml:space="preserve"> </w:t>
      </w:r>
      <w:r w:rsidRPr="0099719E">
        <w:rPr>
          <w:rFonts w:eastAsia="Times New Roman"/>
          <w:lang w:val="es-CR" w:eastAsia="es-ES_tradnl"/>
        </w:rPr>
        <w:t>​</w:t>
      </w:r>
    </w:p>
    <w:p w14:paraId="52BC9A4B" w14:textId="77777777" w:rsidR="001B735F" w:rsidRPr="0099719E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</w:p>
    <w:p w14:paraId="7DE4F8A9" w14:textId="77777777" w:rsidR="001B735F" w:rsidRPr="0099719E" w:rsidRDefault="001B735F" w:rsidP="001B735F">
      <w:pPr>
        <w:widowControl/>
        <w:numPr>
          <w:ilvl w:val="0"/>
          <w:numId w:val="27"/>
        </w:numPr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Abuso de poder y corrupción</w:t>
      </w:r>
    </w:p>
    <w:p w14:paraId="54247051" w14:textId="77777777" w:rsidR="001B735F" w:rsidRPr="0099719E" w:rsidRDefault="001B735F" w:rsidP="001B735F">
      <w:pPr>
        <w:widowControl/>
        <w:numPr>
          <w:ilvl w:val="0"/>
          <w:numId w:val="27"/>
        </w:numPr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Actividades externas</w:t>
      </w:r>
    </w:p>
    <w:p w14:paraId="14F5B642" w14:textId="77777777" w:rsidR="001B735F" w:rsidRPr="0099719E" w:rsidRDefault="001B735F" w:rsidP="001B735F">
      <w:pPr>
        <w:widowControl/>
        <w:numPr>
          <w:ilvl w:val="0"/>
          <w:numId w:val="27"/>
        </w:numPr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Regalos y atenciones</w:t>
      </w:r>
    </w:p>
    <w:p w14:paraId="315DCBDB" w14:textId="77777777" w:rsidR="001B735F" w:rsidRPr="0099719E" w:rsidRDefault="001B735F" w:rsidP="001B735F">
      <w:pPr>
        <w:widowControl/>
        <w:numPr>
          <w:ilvl w:val="0"/>
          <w:numId w:val="27"/>
        </w:numPr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Uso y protección de bienes y recursos</w:t>
      </w:r>
    </w:p>
    <w:p w14:paraId="76626E24" w14:textId="77777777" w:rsidR="001B735F" w:rsidRPr="0099719E" w:rsidRDefault="001B735F" w:rsidP="001B735F">
      <w:pPr>
        <w:widowControl/>
        <w:numPr>
          <w:ilvl w:val="0"/>
          <w:numId w:val="27"/>
        </w:numPr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Integridad financiera</w:t>
      </w:r>
    </w:p>
    <w:p w14:paraId="39285643" w14:textId="77777777" w:rsidR="001B735F" w:rsidRPr="0099719E" w:rsidRDefault="001B735F" w:rsidP="001B735F">
      <w:pPr>
        <w:widowControl/>
        <w:numPr>
          <w:ilvl w:val="0"/>
          <w:numId w:val="27"/>
        </w:numPr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Responsabilidad ambiental</w:t>
      </w:r>
    </w:p>
    <w:p w14:paraId="5B82137E" w14:textId="3D2F4AFF" w:rsidR="001B735F" w:rsidRDefault="001B735F" w:rsidP="001B735F">
      <w:pPr>
        <w:widowControl/>
        <w:numPr>
          <w:ilvl w:val="0"/>
          <w:numId w:val="27"/>
        </w:numPr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Discriminación y otras violaciones a la integridad interpersonal (acoso y hostigamiento regulados en políticas específicas)​</w:t>
      </w:r>
    </w:p>
    <w:p w14:paraId="207CFD1B" w14:textId="77777777" w:rsidR="001B735F" w:rsidRPr="0099719E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</w:p>
    <w:p w14:paraId="2832A9BC" w14:textId="5A5CE0DE" w:rsidR="001B735F" w:rsidRPr="0099719E" w:rsidRDefault="001B735F" w:rsidP="001B735F">
      <w:pPr>
        <w:widowControl/>
        <w:autoSpaceDE/>
        <w:autoSpaceDN/>
        <w:ind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Los conflictos de intereses se desarrollan y regulan en la Política de Conflictos de Intereses del IPLEX, que utiliza las mismas definiciones de “interés privado”, “relación cercana”, “conflicto de intereses” y “puertas giratorias” contenidas en este Código.</w:t>
      </w:r>
    </w:p>
    <w:p w14:paraId="3AA6466C" w14:textId="77777777" w:rsidR="001B735F" w:rsidRDefault="001B735F" w:rsidP="001B735F">
      <w:pPr>
        <w:widowControl/>
        <w:autoSpaceDE/>
        <w:autoSpaceDN/>
        <w:ind w:left="113" w:right="113"/>
        <w:jc w:val="both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lastRenderedPageBreak/>
        <w:t>Denuncia de violaciones del Código</w:t>
      </w:r>
    </w:p>
    <w:p w14:paraId="7A9211BF" w14:textId="77777777" w:rsidR="001B735F" w:rsidRPr="0099719E" w:rsidRDefault="001B735F" w:rsidP="001B735F">
      <w:pPr>
        <w:widowControl/>
        <w:autoSpaceDE/>
        <w:autoSpaceDN/>
        <w:ind w:left="113" w:right="113"/>
        <w:jc w:val="both"/>
        <w:outlineLvl w:val="1"/>
        <w:rPr>
          <w:rFonts w:eastAsia="Times New Roman"/>
          <w:b/>
          <w:bCs/>
          <w:lang w:val="es-CR" w:eastAsia="es-ES_tradnl"/>
        </w:rPr>
      </w:pPr>
    </w:p>
    <w:p w14:paraId="674CA34B" w14:textId="77777777" w:rsid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Todas las personas vinculadas a IPLEX tienen la responsabilidad de denunciar presuntas violaciones de integridad y de no excusar ni ignorar actividades ilegales, peligrosas o poco éticas.</w:t>
      </w:r>
      <w:r w:rsidRPr="001B735F">
        <w:rPr>
          <w:rFonts w:eastAsia="Times New Roman"/>
          <w:lang w:val="es-CR" w:eastAsia="es-ES_tradnl"/>
        </w:rPr>
        <w:t xml:space="preserve"> </w:t>
      </w:r>
    </w:p>
    <w:p w14:paraId="17E86EC2" w14:textId="50BFC09A" w:rsidR="001B735F" w:rsidRPr="0099719E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br/>
        <w:t>Las denuncias deberán presentarse lo antes posible ante la Fiscalía de la Asociación o las instancias definidas en el reglamento de aplicación de este Código.</w:t>
      </w:r>
    </w:p>
    <w:p w14:paraId="4AEDD3EE" w14:textId="325FA6A9" w:rsid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(Se mantienen íntegros los apartados de integridad no interpersonal, integridad financiera, responsabilidad ambiental e integridad interpersonal del texto que ya trabajamos, solo añadiendo las remisiones donde corresponda.)</w:t>
      </w:r>
    </w:p>
    <w:p w14:paraId="54CB7BFF" w14:textId="77777777" w:rsidR="001B735F" w:rsidRP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</w:p>
    <w:p w14:paraId="75E8C3E2" w14:textId="77777777" w:rsidR="001B735F" w:rsidRDefault="001B735F" w:rsidP="001B735F">
      <w:pPr>
        <w:pStyle w:val="Ttulo1"/>
        <w:ind w:left="113" w:right="113"/>
        <w:jc w:val="both"/>
      </w:pPr>
      <w:r w:rsidRPr="001B735F">
        <w:t>INTEGRIDAD NO INTERPERSONAL</w:t>
      </w:r>
    </w:p>
    <w:p w14:paraId="25845E24" w14:textId="77777777" w:rsidR="001B735F" w:rsidRPr="001B735F" w:rsidRDefault="001B735F" w:rsidP="001B735F">
      <w:pPr>
        <w:pStyle w:val="Ttulo1"/>
        <w:ind w:left="113" w:right="113"/>
        <w:jc w:val="both"/>
      </w:pPr>
    </w:p>
    <w:p w14:paraId="7DAFB2C1" w14:textId="77777777" w:rsidR="001B735F" w:rsidRDefault="001B735F" w:rsidP="001B735F">
      <w:pPr>
        <w:pStyle w:val="Ttulo2"/>
        <w:ind w:left="113" w:right="113"/>
        <w:jc w:val="both"/>
      </w:pPr>
      <w:r w:rsidRPr="001B735F">
        <w:t>Abuso de poder y corrupción</w:t>
      </w:r>
    </w:p>
    <w:p w14:paraId="740837AE" w14:textId="77777777" w:rsidR="001B735F" w:rsidRPr="001B735F" w:rsidRDefault="001B735F" w:rsidP="001B735F">
      <w:pPr>
        <w:pStyle w:val="Ttulo2"/>
        <w:ind w:left="113" w:right="113"/>
        <w:jc w:val="both"/>
      </w:pPr>
    </w:p>
    <w:p w14:paraId="5869877B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Se entiende por corrupción el abuso del poder conferido para beneficio propio o de terceras personas. Esta puede tomar distintas formas, entre ellas el soborno, el desvío de recursos, el uso indebido de información o la manipulación de procesos internos.</w:t>
      </w:r>
    </w:p>
    <w:p w14:paraId="637F4CC7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Las personas asociadas al IPLEX, en particular quienes ocupan cargos de dirección o decisión, tienen la responsabilidad de ejercer sus funciones de forma alineada con la visión, los valores y los principios rectores de la organización.</w:t>
      </w:r>
    </w:p>
    <w:p w14:paraId="79DB427E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25B158FE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Style w:val="Textoennegrita"/>
          <w:rFonts w:ascii="Arial" w:eastAsia="Arial" w:hAnsi="Arial" w:cs="Arial"/>
          <w:sz w:val="22"/>
          <w:szCs w:val="22"/>
        </w:rPr>
      </w:pPr>
      <w:r w:rsidRPr="001B735F">
        <w:rPr>
          <w:rStyle w:val="Textoennegrita"/>
          <w:rFonts w:ascii="Arial" w:eastAsia="Arial" w:hAnsi="Arial" w:cs="Arial"/>
          <w:sz w:val="22"/>
          <w:szCs w:val="22"/>
        </w:rPr>
        <w:t>Principios y compromisos:</w:t>
      </w:r>
    </w:p>
    <w:p w14:paraId="7A7B69AB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1FAFD4ED" w14:textId="77777777" w:rsidR="001B735F" w:rsidRPr="001B735F" w:rsidRDefault="001B735F" w:rsidP="001B735F">
      <w:pPr>
        <w:pStyle w:val="my-2"/>
        <w:numPr>
          <w:ilvl w:val="0"/>
          <w:numId w:val="18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Quienes ocupen puestos directivos o de responsabilidad utilizarán la autoridad asociada a su cargo de forma responsable y en beneficio de la organización y su misión.</w:t>
      </w:r>
    </w:p>
    <w:p w14:paraId="37885AF8" w14:textId="77777777" w:rsidR="001B735F" w:rsidRPr="001B735F" w:rsidRDefault="001B735F" w:rsidP="001B735F">
      <w:pPr>
        <w:pStyle w:val="my-2"/>
        <w:numPr>
          <w:ilvl w:val="0"/>
          <w:numId w:val="18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IPLEX no tolera la corrupción y prohíbe cualquier forma de soborno, ya sea directo o indirecto, incluidos los llamados “pagos de facilitación”.</w:t>
      </w:r>
    </w:p>
    <w:p w14:paraId="0516B1E4" w14:textId="77777777" w:rsidR="001B735F" w:rsidRPr="001B735F" w:rsidRDefault="001B735F" w:rsidP="001B735F">
      <w:pPr>
        <w:pStyle w:val="my-2"/>
        <w:numPr>
          <w:ilvl w:val="0"/>
          <w:numId w:val="18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se abusará de ningún poder, real o percibido, que derive de un cargo o función en IPLEX.</w:t>
      </w:r>
    </w:p>
    <w:p w14:paraId="52B32A7B" w14:textId="77777777" w:rsidR="001B735F" w:rsidRPr="001B735F" w:rsidRDefault="001B735F" w:rsidP="001B735F">
      <w:pPr>
        <w:pStyle w:val="my-2"/>
        <w:numPr>
          <w:ilvl w:val="0"/>
          <w:numId w:val="18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se apoyará ni se participará en ninguna forma de corrupción.</w:t>
      </w:r>
    </w:p>
    <w:p w14:paraId="3E71826E" w14:textId="77777777" w:rsidR="001B735F" w:rsidRDefault="001B735F" w:rsidP="001B735F">
      <w:pPr>
        <w:pStyle w:val="my-2"/>
        <w:numPr>
          <w:ilvl w:val="0"/>
          <w:numId w:val="18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se ofrecerá, solicitará, aceptará ni entregará soborno alguno, monetario o no monetario, directa o indirectamente.</w:t>
      </w:r>
    </w:p>
    <w:p w14:paraId="538244EE" w14:textId="77777777" w:rsidR="001B735F" w:rsidRPr="001B735F" w:rsidRDefault="001B735F" w:rsidP="00D476C9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23A59652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1B735F">
        <w:rPr>
          <w:rFonts w:ascii="Arial" w:hAnsi="Arial" w:cs="Arial"/>
          <w:b/>
          <w:bCs/>
          <w:sz w:val="22"/>
          <w:szCs w:val="22"/>
        </w:rPr>
        <w:t>Actividades externas</w:t>
      </w:r>
    </w:p>
    <w:p w14:paraId="2C130DE2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228491E5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IPLEX apoya la participación de su personal y de las personas asociadas en actividades externas lícitas, tales como actividades académicas, comerciales, políticas, de activismo, participación en juntas directivas, docencia, publicaciones u otras, siempre que no entren en conflicto con los principios y obligaciones establecidos en este Código.</w:t>
      </w:r>
    </w:p>
    <w:p w14:paraId="233AAC06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52DDCA51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Algunas actividades externas pueden generar conflictos de interés, especialmente cuando:</w:t>
      </w:r>
    </w:p>
    <w:p w14:paraId="42245C57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21A7743F" w14:textId="77777777" w:rsidR="001B735F" w:rsidRPr="001B735F" w:rsidRDefault="001B735F" w:rsidP="001B735F">
      <w:pPr>
        <w:pStyle w:val="my-2"/>
        <w:numPr>
          <w:ilvl w:val="0"/>
          <w:numId w:val="32"/>
        </w:numPr>
        <w:spacing w:before="0" w:beforeAutospacing="0" w:after="0" w:afterAutospacing="0"/>
        <w:ind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Son incompatibles con la misión, valores o principios del IPLEX.</w:t>
      </w:r>
    </w:p>
    <w:p w14:paraId="3023612A" w14:textId="77777777" w:rsidR="001B735F" w:rsidRPr="001B735F" w:rsidRDefault="001B735F" w:rsidP="001B735F">
      <w:pPr>
        <w:pStyle w:val="my-2"/>
        <w:numPr>
          <w:ilvl w:val="0"/>
          <w:numId w:val="32"/>
        </w:numPr>
        <w:spacing w:before="0" w:beforeAutospacing="0" w:after="0" w:afterAutospacing="0"/>
        <w:ind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Afectan negativamente la capacidad de cumplir las responsabilidades dentro de IPLEX.</w:t>
      </w:r>
    </w:p>
    <w:p w14:paraId="58535EA6" w14:textId="77777777" w:rsidR="001B735F" w:rsidRPr="001B735F" w:rsidRDefault="001B735F" w:rsidP="001B735F">
      <w:pPr>
        <w:pStyle w:val="my-2"/>
        <w:numPr>
          <w:ilvl w:val="0"/>
          <w:numId w:val="32"/>
        </w:numPr>
        <w:spacing w:before="0" w:beforeAutospacing="0" w:after="0" w:afterAutospacing="0"/>
        <w:ind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Utilizan la asociación con IPLEX o hacen uso no autorizado de su nombre, recursos, datos o fondos.</w:t>
      </w:r>
    </w:p>
    <w:p w14:paraId="1162F0B5" w14:textId="77777777" w:rsidR="001B735F" w:rsidRPr="001B735F" w:rsidRDefault="001B735F" w:rsidP="001B735F">
      <w:pPr>
        <w:pStyle w:val="my-2"/>
        <w:numPr>
          <w:ilvl w:val="0"/>
          <w:numId w:val="32"/>
        </w:numPr>
        <w:spacing w:before="0" w:beforeAutospacing="0" w:after="0" w:afterAutospacing="0"/>
        <w:ind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Se realizan como actividad de IPLEX, pero suponen una remuneración privada adicional.</w:t>
      </w:r>
    </w:p>
    <w:p w14:paraId="1BB90089" w14:textId="77777777" w:rsidR="001B735F" w:rsidRDefault="001B735F" w:rsidP="001B735F">
      <w:pPr>
        <w:pStyle w:val="my-2"/>
        <w:numPr>
          <w:ilvl w:val="0"/>
          <w:numId w:val="32"/>
        </w:numPr>
        <w:spacing w:before="0" w:beforeAutospacing="0" w:after="0" w:afterAutospacing="0"/>
        <w:ind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lastRenderedPageBreak/>
        <w:t>Se ven indebidamente influidas por la expectativa de futuras oportunidades de empleo o beneficios.</w:t>
      </w:r>
    </w:p>
    <w:p w14:paraId="256638B7" w14:textId="77777777" w:rsidR="001B735F" w:rsidRPr="001B735F" w:rsidRDefault="001B735F" w:rsidP="001B735F">
      <w:pPr>
        <w:pStyle w:val="my-2"/>
        <w:spacing w:before="0" w:beforeAutospacing="0" w:after="0" w:afterAutospacing="0"/>
        <w:ind w:left="720" w:right="113"/>
        <w:jc w:val="both"/>
        <w:rPr>
          <w:rFonts w:ascii="Arial" w:hAnsi="Arial" w:cs="Arial"/>
          <w:sz w:val="22"/>
          <w:szCs w:val="22"/>
        </w:rPr>
      </w:pPr>
    </w:p>
    <w:p w14:paraId="235644C3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1B735F">
        <w:rPr>
          <w:rFonts w:ascii="Arial" w:hAnsi="Arial" w:cs="Arial"/>
          <w:b/>
          <w:bCs/>
          <w:sz w:val="22"/>
          <w:szCs w:val="22"/>
        </w:rPr>
        <w:t>Compromisos:</w:t>
      </w:r>
    </w:p>
    <w:p w14:paraId="0D1ABF99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3F98C122" w14:textId="77777777" w:rsidR="001B735F" w:rsidRPr="001B735F" w:rsidRDefault="001B735F" w:rsidP="001B735F">
      <w:pPr>
        <w:pStyle w:val="my-2"/>
        <w:numPr>
          <w:ilvl w:val="0"/>
          <w:numId w:val="20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permitir que las decisiones adoptadas en el ejercicio de funciones dentro de IPLEX se vean indebidamente influidas por la expectativa de futuros empleos o beneficios externos.</w:t>
      </w:r>
      <w:r w:rsidRPr="001B735F">
        <w:rPr>
          <w:rStyle w:val="inline-flex"/>
          <w:rFonts w:ascii="Arial" w:hAnsi="Arial" w:cs="Arial"/>
          <w:sz w:val="22"/>
          <w:szCs w:val="22"/>
        </w:rPr>
        <w:t xml:space="preserve"> ​</w:t>
      </w:r>
    </w:p>
    <w:p w14:paraId="62361C73" w14:textId="77777777" w:rsidR="001B735F" w:rsidRPr="001B735F" w:rsidRDefault="001B735F" w:rsidP="001B735F">
      <w:pPr>
        <w:pStyle w:val="my-2"/>
        <w:numPr>
          <w:ilvl w:val="0"/>
          <w:numId w:val="20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permitir que afiliaciones, actividades o ambiciones políticas, financieras o de otra índole interfieran con los principios de imparcialidad política y neutralidad religiosa del IPLEX.</w:t>
      </w:r>
    </w:p>
    <w:p w14:paraId="50EE6595" w14:textId="77777777" w:rsidR="001B735F" w:rsidRPr="001B735F" w:rsidRDefault="001B735F" w:rsidP="001B735F">
      <w:pPr>
        <w:pStyle w:val="my-2"/>
        <w:numPr>
          <w:ilvl w:val="0"/>
          <w:numId w:val="20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solicitar pagos suplementarios por actividades relacionadas con el trabajo en IPLEX (charlas, publicaciones, entrevistas o similares). Si se recibe una remuneración por este tipo de actividades, será reportada y, salvo autorización expresa, destinada al IPLEX.</w:t>
      </w:r>
    </w:p>
    <w:p w14:paraId="64BBDDFE" w14:textId="77777777" w:rsidR="001B735F" w:rsidRDefault="001B735F" w:rsidP="001B735F">
      <w:pPr>
        <w:pStyle w:val="my-2"/>
        <w:numPr>
          <w:ilvl w:val="0"/>
          <w:numId w:val="20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Asegurar que la conducta personal y las actividades externas no menoscaben el desempeño de las funciones, sean coherentes con la misión y valores del IPLEX y no perjudiquen su reputación.</w:t>
      </w:r>
    </w:p>
    <w:p w14:paraId="07653AB6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16404373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1B735F">
        <w:rPr>
          <w:rFonts w:ascii="Arial" w:hAnsi="Arial" w:cs="Arial"/>
          <w:b/>
          <w:bCs/>
          <w:sz w:val="22"/>
          <w:szCs w:val="22"/>
        </w:rPr>
        <w:t>Regalos y atenciones:</w:t>
      </w:r>
    </w:p>
    <w:p w14:paraId="372820B0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3A685504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Las personas vinculadas al IPLEX no deben aceptar ni ofrecer regalos personales a organizaciones o personas con quienes tengan o puedan tener relaciones institucionales, salvo que se trate de obsequios simbólicos de valor moderado, que no comprometan la independencia ni puedan percibirse como una influencia indebida.</w:t>
      </w:r>
    </w:p>
    <w:p w14:paraId="14F0E7C9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4F9243CF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Se establece lo siguiente:</w:t>
      </w:r>
    </w:p>
    <w:p w14:paraId="78D28B15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39402F5F" w14:textId="77777777" w:rsidR="001B735F" w:rsidRPr="001B735F" w:rsidRDefault="001B735F" w:rsidP="001B735F">
      <w:pPr>
        <w:pStyle w:val="my-2"/>
        <w:numPr>
          <w:ilvl w:val="0"/>
          <w:numId w:val="21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Solo se podrán dar o aceptar pequeños obsequios de valor simbólico, de forma pública y en nombre de IPLEX, y por un valor que no supere el equivalente a 100 dólares estadounidenses, siempre que no comprometan la integridad de la función ni de la organización. Estos obsequios deberán ser reportados a la Presidencia de la Junta Directiva; si se trata de la Presidencia, deberá informarse al pleno de la Junta Directiva.</w:t>
      </w:r>
    </w:p>
    <w:p w14:paraId="6E661AD0" w14:textId="77777777" w:rsidR="001B735F" w:rsidRDefault="001B735F" w:rsidP="001B735F">
      <w:pPr>
        <w:pStyle w:val="my-2"/>
        <w:numPr>
          <w:ilvl w:val="0"/>
          <w:numId w:val="21"/>
        </w:numPr>
        <w:spacing w:before="0" w:beforeAutospacing="0" w:after="0" w:afterAutospacing="0"/>
        <w:ind w:left="113" w:right="113"/>
        <w:jc w:val="both"/>
        <w:rPr>
          <w:rStyle w:val="inline-flex"/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Bajo ninguna circunstancia se aceptarán ni solicitarán obsequios o favores que puedan influir, o razonablemente percibirse que influyen, en el ejercicio de las funciones, en el criterio profesional o en la toma de decisiones, incluyendo obsequios monetarios o de valor superior al indicado.</w:t>
      </w:r>
      <w:r w:rsidRPr="001B735F">
        <w:rPr>
          <w:rStyle w:val="inline-flex"/>
          <w:rFonts w:ascii="Arial" w:hAnsi="Arial" w:cs="Arial"/>
          <w:sz w:val="22"/>
          <w:szCs w:val="22"/>
        </w:rPr>
        <w:t xml:space="preserve"> ​</w:t>
      </w:r>
    </w:p>
    <w:p w14:paraId="57B2D9EB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5E1F8C74" w14:textId="77777777" w:rsidR="001B735F" w:rsidRDefault="001B735F" w:rsidP="001B735F">
      <w:pPr>
        <w:pStyle w:val="Ttulo2"/>
        <w:ind w:left="113" w:right="113"/>
        <w:jc w:val="both"/>
      </w:pPr>
      <w:r w:rsidRPr="001B735F">
        <w:t>Uso y protección de bienes y recursos</w:t>
      </w:r>
    </w:p>
    <w:p w14:paraId="6D6CF7DC" w14:textId="77777777" w:rsidR="001B735F" w:rsidRPr="001B735F" w:rsidRDefault="001B735F" w:rsidP="001B735F">
      <w:pPr>
        <w:pStyle w:val="Ttulo2"/>
        <w:ind w:left="113" w:right="113"/>
        <w:jc w:val="both"/>
      </w:pPr>
    </w:p>
    <w:p w14:paraId="7B5C37BF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Los bienes del IPLEX (activos financieros, información, datos, equipos, infraestructura, tiempo de trabajo y cualquier otro recurso) deben utilizarse exclusivamente para el cumplimiento de los objetivos institucionales.</w:t>
      </w:r>
    </w:p>
    <w:p w14:paraId="150C3F6A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1BD39306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La Asociación otorga gran importancia a la transparencia en la gestión y divulgación de información, compatible con la protección de datos personales, borradores de trabajo e información confidencial.</w:t>
      </w:r>
    </w:p>
    <w:p w14:paraId="72D40BED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1EBC11BE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1B735F">
        <w:rPr>
          <w:rFonts w:ascii="Arial" w:hAnsi="Arial" w:cs="Arial"/>
          <w:b/>
          <w:bCs/>
          <w:sz w:val="22"/>
          <w:szCs w:val="22"/>
        </w:rPr>
        <w:t>Compromisos:</w:t>
      </w:r>
    </w:p>
    <w:p w14:paraId="4731B1EE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30016138" w14:textId="77777777" w:rsidR="001B735F" w:rsidRPr="001B735F" w:rsidRDefault="001B735F" w:rsidP="001B735F">
      <w:pPr>
        <w:pStyle w:val="my-2"/>
        <w:numPr>
          <w:ilvl w:val="0"/>
          <w:numId w:val="22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Proteger el equipo, los activos y los recursos financieros del IPLEX y asegurar que se utilicen de forma eficaz para los fines para los cuales fueron asignados.</w:t>
      </w:r>
    </w:p>
    <w:p w14:paraId="3FFB67DA" w14:textId="77777777" w:rsidR="001B735F" w:rsidRPr="001B735F" w:rsidRDefault="001B735F" w:rsidP="001B735F">
      <w:pPr>
        <w:pStyle w:val="my-2"/>
        <w:numPr>
          <w:ilvl w:val="0"/>
          <w:numId w:val="22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Tomar las precauciones razonables para evitar pérdidas, daños o uso indebido de dichos bienes.</w:t>
      </w:r>
    </w:p>
    <w:p w14:paraId="2ACBED1D" w14:textId="77777777" w:rsidR="001B735F" w:rsidRPr="001B735F" w:rsidRDefault="001B735F" w:rsidP="001B735F">
      <w:pPr>
        <w:pStyle w:val="my-2"/>
        <w:numPr>
          <w:ilvl w:val="0"/>
          <w:numId w:val="22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lastRenderedPageBreak/>
        <w:t>No utilizar los equipos ni los accesos digitales de IPLEX para actividades ilegales, ofensivas o contrarias a la ética, ni para fines comerciales externos no autorizados.</w:t>
      </w:r>
    </w:p>
    <w:p w14:paraId="6C543FFC" w14:textId="77777777" w:rsidR="001B735F" w:rsidRPr="001B735F" w:rsidRDefault="001B735F" w:rsidP="001B735F">
      <w:pPr>
        <w:pStyle w:val="my-2"/>
        <w:numPr>
          <w:ilvl w:val="0"/>
          <w:numId w:val="22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Informar de inmediato a la jefatura correspondiente o a la Junta Directiva sobre la pérdida, daño o uso indebido de cualquier propiedad del IPLEX.</w:t>
      </w:r>
    </w:p>
    <w:p w14:paraId="0198344C" w14:textId="1881FD7E" w:rsidR="001B735F" w:rsidRDefault="001B735F" w:rsidP="001B735F">
      <w:pPr>
        <w:pStyle w:val="my-2"/>
        <w:numPr>
          <w:ilvl w:val="0"/>
          <w:numId w:val="22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Procurar la máxima transparencia posible en las decisiones y acciones, cuidando al mismo tiempo la confidencialidad de datos personales, información estratégica o documentos en elaboración.</w:t>
      </w:r>
    </w:p>
    <w:p w14:paraId="55DB934E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77278734" w14:textId="29DF965D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1B735F">
        <w:rPr>
          <w:rFonts w:ascii="Arial" w:hAnsi="Arial" w:cs="Arial"/>
          <w:b/>
          <w:bCs/>
          <w:sz w:val="22"/>
          <w:szCs w:val="22"/>
        </w:rPr>
        <w:t>Integridad financiera</w:t>
      </w:r>
    </w:p>
    <w:p w14:paraId="4AEB2B8F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427ABC05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IPLEX es responsable ante sus donantes, socios, personas beneficiarias y sociedad en general por la gestión de sus recursos financieros. Las violaciones a la integridad financiera (fraude, robo, despilfarro, mala gestión grave o uso temerario de fondos) pueden afectar gravemente el trabajo y la reputación de la organización.</w:t>
      </w:r>
    </w:p>
    <w:p w14:paraId="165864DB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798BD578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1B735F">
        <w:rPr>
          <w:rFonts w:ascii="Arial" w:hAnsi="Arial" w:cs="Arial"/>
          <w:b/>
          <w:bCs/>
          <w:sz w:val="22"/>
          <w:szCs w:val="22"/>
        </w:rPr>
        <w:t>Compromisos:</w:t>
      </w:r>
    </w:p>
    <w:p w14:paraId="26F19009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04894BA4" w14:textId="77777777" w:rsidR="001B735F" w:rsidRPr="001B735F" w:rsidRDefault="001B735F" w:rsidP="001B735F">
      <w:pPr>
        <w:pStyle w:val="my-2"/>
        <w:numPr>
          <w:ilvl w:val="0"/>
          <w:numId w:val="23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participar en actos de fraude, hurto o cualquier uso indebido de fondos.</w:t>
      </w:r>
    </w:p>
    <w:p w14:paraId="22278D8D" w14:textId="77777777" w:rsidR="001B735F" w:rsidRPr="001B735F" w:rsidRDefault="001B735F" w:rsidP="001B735F">
      <w:pPr>
        <w:pStyle w:val="my-2"/>
        <w:numPr>
          <w:ilvl w:val="0"/>
          <w:numId w:val="23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desperdiciar deliberadamente recursos ni hacer un uso temerario de ellos.</w:t>
      </w:r>
    </w:p>
    <w:p w14:paraId="626E0BD3" w14:textId="77777777" w:rsidR="001B735F" w:rsidRPr="001B735F" w:rsidRDefault="001B735F" w:rsidP="001B735F">
      <w:pPr>
        <w:pStyle w:val="my-2"/>
        <w:numPr>
          <w:ilvl w:val="0"/>
          <w:numId w:val="23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utilizar fondos para fines no autorizados.</w:t>
      </w:r>
    </w:p>
    <w:p w14:paraId="32C880EF" w14:textId="77777777" w:rsidR="001B735F" w:rsidRPr="001B735F" w:rsidRDefault="001B735F" w:rsidP="001B735F">
      <w:pPr>
        <w:pStyle w:val="my-2"/>
        <w:numPr>
          <w:ilvl w:val="0"/>
          <w:numId w:val="23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Cumplir con las obligaciones contractuales, estatutarias y políticas relacionadas con la gestión de fondos y recursos.</w:t>
      </w:r>
    </w:p>
    <w:p w14:paraId="51071E26" w14:textId="70B08206" w:rsidR="001B735F" w:rsidRDefault="001B735F" w:rsidP="001B735F">
      <w:pPr>
        <w:pStyle w:val="my-2"/>
        <w:numPr>
          <w:ilvl w:val="0"/>
          <w:numId w:val="23"/>
        </w:numPr>
        <w:spacing w:before="0" w:beforeAutospacing="0" w:after="0" w:afterAutospacing="0"/>
        <w:ind w:left="113" w:right="113"/>
        <w:jc w:val="both"/>
        <w:rPr>
          <w:rStyle w:val="inline-flex"/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Solicitar asesoría a la dirección cuando existan dudas sobre la correcta gestión de los recursos a cargo. La diligencia, exactitud y honestidad en el procesamiento de transacciones y en la rendición de cuentas reflejan la credibilidad del IPLEX y son esenciales para el cumplimiento de su misión.</w:t>
      </w:r>
      <w:r w:rsidRPr="001B735F">
        <w:rPr>
          <w:rStyle w:val="inline-flex"/>
          <w:rFonts w:ascii="Arial" w:hAnsi="Arial" w:cs="Arial"/>
          <w:sz w:val="22"/>
          <w:szCs w:val="22"/>
        </w:rPr>
        <w:t xml:space="preserve"> ​</w:t>
      </w:r>
    </w:p>
    <w:p w14:paraId="647B09B7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191C8308" w14:textId="77777777" w:rsidR="001B735F" w:rsidRDefault="001B735F" w:rsidP="001B735F">
      <w:pPr>
        <w:pStyle w:val="Ttulo2"/>
        <w:ind w:left="113" w:right="113"/>
        <w:jc w:val="both"/>
      </w:pPr>
      <w:r w:rsidRPr="001B735F">
        <w:t>Responsabilidad ambiental</w:t>
      </w:r>
    </w:p>
    <w:p w14:paraId="6654A3D4" w14:textId="77777777" w:rsidR="001B735F" w:rsidRPr="001B735F" w:rsidRDefault="001B735F" w:rsidP="001B735F">
      <w:pPr>
        <w:pStyle w:val="Ttulo2"/>
        <w:ind w:left="113" w:right="113"/>
        <w:jc w:val="both"/>
      </w:pPr>
    </w:p>
    <w:p w14:paraId="75DB7A9B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IPLEX reconoce que la responsabilidad ambiental se vincula con la lucha contra la corrupción, la protección de personas defensoras del ambiente y la protección de quienes denuncian daños ambientales.</w:t>
      </w:r>
    </w:p>
    <w:p w14:paraId="0CB8D7B0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7FFB8F0E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  <w:r w:rsidRPr="001B735F">
        <w:rPr>
          <w:rFonts w:ascii="Arial" w:hAnsi="Arial" w:cs="Arial"/>
          <w:b/>
          <w:bCs/>
          <w:sz w:val="22"/>
          <w:szCs w:val="22"/>
        </w:rPr>
        <w:t>Compromisos:</w:t>
      </w:r>
    </w:p>
    <w:p w14:paraId="7DD555FF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b/>
          <w:bCs/>
          <w:sz w:val="22"/>
          <w:szCs w:val="22"/>
        </w:rPr>
      </w:pPr>
    </w:p>
    <w:p w14:paraId="70AC0AF0" w14:textId="77777777" w:rsidR="001B735F" w:rsidRPr="001B735F" w:rsidRDefault="001B735F" w:rsidP="001B735F">
      <w:pPr>
        <w:pStyle w:val="my-2"/>
        <w:numPr>
          <w:ilvl w:val="0"/>
          <w:numId w:val="24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Actuar de manera ambientalmente responsable, considerando los impactos y la sostenibilidad de las actividades vinculadas al IPLEX.</w:t>
      </w:r>
    </w:p>
    <w:p w14:paraId="4C0147EE" w14:textId="7A6BAB83" w:rsidR="001B735F" w:rsidRPr="001B735F" w:rsidRDefault="001B735F" w:rsidP="001B735F">
      <w:pPr>
        <w:pStyle w:val="my-2"/>
        <w:numPr>
          <w:ilvl w:val="0"/>
          <w:numId w:val="24"/>
        </w:numPr>
        <w:spacing w:before="0" w:beforeAutospacing="0" w:after="0" w:afterAutospacing="0"/>
        <w:ind w:left="113" w:right="113"/>
        <w:jc w:val="both"/>
      </w:pPr>
      <w:r w:rsidRPr="001B735F">
        <w:rPr>
          <w:rFonts w:ascii="Arial" w:hAnsi="Arial" w:cs="Arial"/>
          <w:sz w:val="22"/>
          <w:szCs w:val="22"/>
        </w:rPr>
        <w:t>Integrar la perspectiva ambiental en la toma de decisiones, la planificación y la ejecución de las responsabilidades laborales.</w:t>
      </w:r>
    </w:p>
    <w:p w14:paraId="66A38748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</w:pPr>
    </w:p>
    <w:p w14:paraId="2E4242E4" w14:textId="7C510A33" w:rsidR="001B735F" w:rsidRDefault="001B735F" w:rsidP="001B735F">
      <w:pPr>
        <w:pStyle w:val="Ttulo1"/>
        <w:ind w:left="113" w:right="113"/>
        <w:jc w:val="both"/>
      </w:pPr>
      <w:r w:rsidRPr="001B735F">
        <w:t>INTEGRIDAD INTERPERSONAL</w:t>
      </w:r>
    </w:p>
    <w:p w14:paraId="7B81F3F2" w14:textId="77777777" w:rsidR="001B735F" w:rsidRPr="001B735F" w:rsidRDefault="001B735F" w:rsidP="001B735F">
      <w:pPr>
        <w:pStyle w:val="Ttulo1"/>
        <w:ind w:left="113" w:right="113"/>
        <w:jc w:val="both"/>
      </w:pPr>
    </w:p>
    <w:p w14:paraId="3F0CEF28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Las violaciones a la integridad interpersonal son formas de comportamiento que dañan o comprometen el bienestar físico o psicológico de otras personas y están estrictamente prohibidas.</w:t>
      </w:r>
    </w:p>
    <w:p w14:paraId="1216505C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6E3FB290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IPLEX reconoce que dichos comportamientos suelen involucrar abusos de poder o de posición, por lo que se debe prestar especial atención a las desigualdades de poder por edad, jerarquía, tipo de contrato, estatus migratorio, prestigio u otros factores.</w:t>
      </w:r>
    </w:p>
    <w:p w14:paraId="42A518DE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1CB220C5" w14:textId="77777777" w:rsid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lastRenderedPageBreak/>
        <w:t>El acoso sexual y el hostigamiento laboral se regulan en políticas específicas del IPLEX, complementarias a este Código.</w:t>
      </w:r>
    </w:p>
    <w:p w14:paraId="0471F925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</w:p>
    <w:p w14:paraId="789FF31D" w14:textId="77777777" w:rsidR="001B735F" w:rsidRDefault="001B735F" w:rsidP="001B735F">
      <w:pPr>
        <w:pStyle w:val="Ttulo2"/>
        <w:ind w:left="113" w:right="113"/>
        <w:jc w:val="both"/>
      </w:pPr>
      <w:r w:rsidRPr="001B735F">
        <w:t>Discriminación</w:t>
      </w:r>
    </w:p>
    <w:p w14:paraId="3820599D" w14:textId="77777777" w:rsidR="001B735F" w:rsidRPr="001B735F" w:rsidRDefault="001B735F" w:rsidP="001B735F">
      <w:pPr>
        <w:pStyle w:val="Ttulo2"/>
        <w:ind w:left="113" w:right="113"/>
        <w:jc w:val="both"/>
      </w:pPr>
    </w:p>
    <w:p w14:paraId="2B3E9FAA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IPLEX se compromete a construir una cultura laboral segura e inclusiva, en la que su misión se concrete mediante la diversidad de experiencias, habilidades y capacidades de su equipo.</w:t>
      </w:r>
    </w:p>
    <w:p w14:paraId="1C80079D" w14:textId="77777777" w:rsidR="001B735F" w:rsidRPr="001B735F" w:rsidRDefault="001B735F" w:rsidP="001B735F">
      <w:pPr>
        <w:pStyle w:val="my-2"/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Definiciones y compromisos:</w:t>
      </w:r>
    </w:p>
    <w:p w14:paraId="76B0D71E" w14:textId="77777777" w:rsidR="001B735F" w:rsidRPr="001B735F" w:rsidRDefault="001B735F" w:rsidP="001B735F">
      <w:pPr>
        <w:pStyle w:val="my-2"/>
        <w:numPr>
          <w:ilvl w:val="0"/>
          <w:numId w:val="25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La discriminación directa se produce cuando una persona es tratada de forma injusta o se le restringen derechos por motivos de raza u origen étnico (real o percibido), nacionalidad, color de piel, género, identidad o expresión de género, idioma, estado civil o familiar, condición socioeconómica, religión o creencias (o su ausencia), discapacidad, edad u orientación sexual, entre otros.</w:t>
      </w:r>
    </w:p>
    <w:p w14:paraId="793985DE" w14:textId="77777777" w:rsidR="001B735F" w:rsidRPr="001B735F" w:rsidRDefault="001B735F" w:rsidP="001B735F">
      <w:pPr>
        <w:pStyle w:val="my-2"/>
        <w:numPr>
          <w:ilvl w:val="0"/>
          <w:numId w:val="25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La discriminación indirecta ocurre cuando una disposición, criterio o práctica aparentemente neutral coloca a una persona o grupo en desventaja por alguno de esos motivos.</w:t>
      </w:r>
    </w:p>
    <w:p w14:paraId="2ED18C1D" w14:textId="77777777" w:rsidR="001B735F" w:rsidRPr="001B735F" w:rsidRDefault="001B735F" w:rsidP="001B735F">
      <w:pPr>
        <w:pStyle w:val="my-2"/>
        <w:numPr>
          <w:ilvl w:val="0"/>
          <w:numId w:val="25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No se considerarán discriminatorias aquellas medidas que persigan un objetivo legítimo y sean adecuadas y necesarias para alcanzarlo, como ciertas acciones para promover la igualdad sustantiva o garantizar representación equilibrada.</w:t>
      </w:r>
    </w:p>
    <w:p w14:paraId="37F8EEC1" w14:textId="77777777" w:rsidR="001B735F" w:rsidRPr="001B735F" w:rsidRDefault="001B735F" w:rsidP="001B735F">
      <w:pPr>
        <w:pStyle w:val="my-2"/>
        <w:numPr>
          <w:ilvl w:val="0"/>
          <w:numId w:val="25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Todas las personas vinculadas a IPLEX se tratarán con respeto y actuarán de manera profesional para fomentar una cultura de trabajo segura e inclusiva en todo momento.</w:t>
      </w:r>
    </w:p>
    <w:p w14:paraId="2F8DF542" w14:textId="77777777" w:rsidR="001B735F" w:rsidRPr="001B735F" w:rsidRDefault="001B735F" w:rsidP="001B735F">
      <w:pPr>
        <w:pStyle w:val="my-2"/>
        <w:numPr>
          <w:ilvl w:val="0"/>
          <w:numId w:val="25"/>
        </w:numPr>
        <w:spacing w:before="0" w:beforeAutospacing="0" w:after="0" w:afterAutospacing="0"/>
        <w:ind w:left="113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>Ninguna persona asociada a IPLEX discriminará directa o indirectamente a otra por razón de las características mencionadas.</w:t>
      </w:r>
    </w:p>
    <w:p w14:paraId="1C20DD94" w14:textId="77777777" w:rsidR="001B735F" w:rsidRDefault="001B735F" w:rsidP="001B735F">
      <w:pPr>
        <w:pStyle w:val="my-2"/>
        <w:spacing w:before="0" w:beforeAutospacing="0" w:after="0" w:afterAutospacing="0"/>
        <w:ind w:left="-247" w:right="113"/>
        <w:jc w:val="both"/>
        <w:rPr>
          <w:rFonts w:ascii="Arial" w:hAnsi="Arial" w:cs="Arial"/>
          <w:sz w:val="22"/>
          <w:szCs w:val="22"/>
        </w:rPr>
      </w:pPr>
    </w:p>
    <w:p w14:paraId="635FF8B0" w14:textId="77777777" w:rsidR="001B735F" w:rsidRDefault="001B735F" w:rsidP="001B735F">
      <w:pPr>
        <w:pStyle w:val="my-2"/>
        <w:spacing w:before="0" w:beforeAutospacing="0" w:after="0" w:afterAutospacing="0"/>
        <w:ind w:left="-247" w:right="113"/>
        <w:jc w:val="both"/>
        <w:rPr>
          <w:rFonts w:ascii="Arial" w:hAnsi="Arial" w:cs="Arial"/>
          <w:sz w:val="22"/>
          <w:szCs w:val="22"/>
        </w:rPr>
      </w:pPr>
    </w:p>
    <w:p w14:paraId="798B2863" w14:textId="345CF561" w:rsidR="001B735F" w:rsidRPr="001B735F" w:rsidRDefault="001B735F" w:rsidP="001B735F">
      <w:pPr>
        <w:pStyle w:val="my-2"/>
        <w:spacing w:before="0" w:beforeAutospacing="0" w:after="0" w:afterAutospacing="0"/>
        <w:ind w:left="-247" w:right="113"/>
        <w:jc w:val="both"/>
        <w:rPr>
          <w:rFonts w:ascii="Arial" w:hAnsi="Arial" w:cs="Arial"/>
          <w:sz w:val="22"/>
          <w:szCs w:val="22"/>
        </w:rPr>
      </w:pPr>
      <w:r w:rsidRPr="001B735F">
        <w:rPr>
          <w:rFonts w:ascii="Arial" w:hAnsi="Arial" w:cs="Arial"/>
          <w:sz w:val="22"/>
          <w:szCs w:val="22"/>
        </w:rPr>
        <w:t xml:space="preserve">Aprobado en la sesión ordinaria N.° </w:t>
      </w:r>
      <w:r w:rsidR="005E65AC">
        <w:rPr>
          <w:rFonts w:ascii="Arial" w:hAnsi="Arial" w:cs="Arial"/>
          <w:sz w:val="22"/>
          <w:szCs w:val="22"/>
        </w:rPr>
        <w:t>244</w:t>
      </w:r>
      <w:r w:rsidRPr="001B735F">
        <w:rPr>
          <w:rFonts w:ascii="Arial" w:hAnsi="Arial" w:cs="Arial"/>
          <w:sz w:val="22"/>
          <w:szCs w:val="22"/>
        </w:rPr>
        <w:t xml:space="preserve"> de la Junta Directiva del Instituto de Prensa y Libertad de Expresión (IPLEX), celebrada el día</w:t>
      </w:r>
      <w:r w:rsidR="005E65AC">
        <w:rPr>
          <w:rFonts w:ascii="Arial" w:hAnsi="Arial" w:cs="Arial"/>
          <w:sz w:val="22"/>
          <w:szCs w:val="22"/>
        </w:rPr>
        <w:t xml:space="preserve"> 23</w:t>
      </w:r>
      <w:r w:rsidRPr="001B735F">
        <w:rPr>
          <w:rFonts w:ascii="Arial" w:hAnsi="Arial" w:cs="Arial"/>
          <w:sz w:val="22"/>
          <w:szCs w:val="22"/>
        </w:rPr>
        <w:t xml:space="preserve"> de </w:t>
      </w:r>
      <w:r w:rsidR="005E65AC">
        <w:rPr>
          <w:rFonts w:ascii="Arial" w:hAnsi="Arial" w:cs="Arial"/>
          <w:sz w:val="22"/>
          <w:szCs w:val="22"/>
        </w:rPr>
        <w:t xml:space="preserve">ENERO </w:t>
      </w:r>
      <w:r w:rsidRPr="001B735F">
        <w:rPr>
          <w:rFonts w:ascii="Arial" w:hAnsi="Arial" w:cs="Arial"/>
          <w:sz w:val="22"/>
          <w:szCs w:val="22"/>
        </w:rPr>
        <w:t>de 20</w:t>
      </w:r>
      <w:r w:rsidR="005E65AC">
        <w:rPr>
          <w:rFonts w:ascii="Arial" w:hAnsi="Arial" w:cs="Arial"/>
          <w:sz w:val="22"/>
          <w:szCs w:val="22"/>
        </w:rPr>
        <w:t>26</w:t>
      </w:r>
      <w:r w:rsidRPr="001B735F">
        <w:rPr>
          <w:rFonts w:ascii="Arial" w:hAnsi="Arial" w:cs="Arial"/>
          <w:sz w:val="22"/>
          <w:szCs w:val="22"/>
        </w:rPr>
        <w:t>.</w:t>
      </w:r>
    </w:p>
    <w:p w14:paraId="7222DDB7" w14:textId="77777777" w:rsidR="001B735F" w:rsidRPr="001B735F" w:rsidRDefault="001B735F" w:rsidP="001B735F">
      <w:pPr>
        <w:widowControl/>
        <w:autoSpaceDE/>
        <w:autoSpaceDN/>
        <w:ind w:left="113" w:right="113"/>
        <w:jc w:val="both"/>
        <w:rPr>
          <w:rFonts w:eastAsia="Times New Roman"/>
          <w:lang w:val="es-CR" w:eastAsia="es-ES_tradnl"/>
        </w:rPr>
      </w:pPr>
    </w:p>
    <w:sectPr w:rsidR="001B735F" w:rsidRPr="001B735F" w:rsidSect="006C2186">
      <w:type w:val="continuous"/>
      <w:pgSz w:w="12240" w:h="15840"/>
      <w:pgMar w:top="1680" w:right="1440" w:bottom="1200" w:left="1440" w:header="781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CD13" w14:textId="77777777" w:rsidR="00DD5B7A" w:rsidRDefault="00DD5B7A">
      <w:r>
        <w:separator/>
      </w:r>
    </w:p>
  </w:endnote>
  <w:endnote w:type="continuationSeparator" w:id="0">
    <w:p w14:paraId="63205373" w14:textId="77777777" w:rsidR="00DD5B7A" w:rsidRDefault="00DD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607D" w14:textId="77777777" w:rsidR="00DD5B7A" w:rsidRDefault="00DD5B7A">
      <w:r>
        <w:separator/>
      </w:r>
    </w:p>
  </w:footnote>
  <w:footnote w:type="continuationSeparator" w:id="0">
    <w:p w14:paraId="19300E23" w14:textId="77777777" w:rsidR="00DD5B7A" w:rsidRDefault="00DD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4B1"/>
    <w:multiLevelType w:val="hybridMultilevel"/>
    <w:tmpl w:val="FD66B54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3DF"/>
    <w:multiLevelType w:val="hybridMultilevel"/>
    <w:tmpl w:val="362EC942"/>
    <w:lvl w:ilvl="0" w:tplc="0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3852BBB"/>
    <w:multiLevelType w:val="hybridMultilevel"/>
    <w:tmpl w:val="BE3200AA"/>
    <w:lvl w:ilvl="0" w:tplc="C13A8300">
      <w:numFmt w:val="bullet"/>
      <w:lvlText w:val="▪"/>
      <w:lvlJc w:val="left"/>
      <w:pPr>
        <w:ind w:left="391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5E19AA">
      <w:numFmt w:val="bullet"/>
      <w:lvlText w:val="•"/>
      <w:lvlJc w:val="left"/>
      <w:pPr>
        <w:ind w:left="1296" w:hanging="130"/>
      </w:pPr>
      <w:rPr>
        <w:rFonts w:hint="default"/>
        <w:lang w:val="es-ES" w:eastAsia="en-US" w:bidi="ar-SA"/>
      </w:rPr>
    </w:lvl>
    <w:lvl w:ilvl="2" w:tplc="FD44A848">
      <w:numFmt w:val="bullet"/>
      <w:lvlText w:val="•"/>
      <w:lvlJc w:val="left"/>
      <w:pPr>
        <w:ind w:left="2192" w:hanging="130"/>
      </w:pPr>
      <w:rPr>
        <w:rFonts w:hint="default"/>
        <w:lang w:val="es-ES" w:eastAsia="en-US" w:bidi="ar-SA"/>
      </w:rPr>
    </w:lvl>
    <w:lvl w:ilvl="3" w:tplc="5016C9C2">
      <w:numFmt w:val="bullet"/>
      <w:lvlText w:val="•"/>
      <w:lvlJc w:val="left"/>
      <w:pPr>
        <w:ind w:left="3088" w:hanging="130"/>
      </w:pPr>
      <w:rPr>
        <w:rFonts w:hint="default"/>
        <w:lang w:val="es-ES" w:eastAsia="en-US" w:bidi="ar-SA"/>
      </w:rPr>
    </w:lvl>
    <w:lvl w:ilvl="4" w:tplc="9EDE3C3C">
      <w:numFmt w:val="bullet"/>
      <w:lvlText w:val="•"/>
      <w:lvlJc w:val="left"/>
      <w:pPr>
        <w:ind w:left="3984" w:hanging="130"/>
      </w:pPr>
      <w:rPr>
        <w:rFonts w:hint="default"/>
        <w:lang w:val="es-ES" w:eastAsia="en-US" w:bidi="ar-SA"/>
      </w:rPr>
    </w:lvl>
    <w:lvl w:ilvl="5" w:tplc="3F144B1C">
      <w:numFmt w:val="bullet"/>
      <w:lvlText w:val="•"/>
      <w:lvlJc w:val="left"/>
      <w:pPr>
        <w:ind w:left="4880" w:hanging="130"/>
      </w:pPr>
      <w:rPr>
        <w:rFonts w:hint="default"/>
        <w:lang w:val="es-ES" w:eastAsia="en-US" w:bidi="ar-SA"/>
      </w:rPr>
    </w:lvl>
    <w:lvl w:ilvl="6" w:tplc="C1E87B0A">
      <w:numFmt w:val="bullet"/>
      <w:lvlText w:val="•"/>
      <w:lvlJc w:val="left"/>
      <w:pPr>
        <w:ind w:left="5776" w:hanging="130"/>
      </w:pPr>
      <w:rPr>
        <w:rFonts w:hint="default"/>
        <w:lang w:val="es-ES" w:eastAsia="en-US" w:bidi="ar-SA"/>
      </w:rPr>
    </w:lvl>
    <w:lvl w:ilvl="7" w:tplc="C1044224">
      <w:numFmt w:val="bullet"/>
      <w:lvlText w:val="•"/>
      <w:lvlJc w:val="left"/>
      <w:pPr>
        <w:ind w:left="6672" w:hanging="130"/>
      </w:pPr>
      <w:rPr>
        <w:rFonts w:hint="default"/>
        <w:lang w:val="es-ES" w:eastAsia="en-US" w:bidi="ar-SA"/>
      </w:rPr>
    </w:lvl>
    <w:lvl w:ilvl="8" w:tplc="CD3E5586">
      <w:numFmt w:val="bullet"/>
      <w:lvlText w:val="•"/>
      <w:lvlJc w:val="left"/>
      <w:pPr>
        <w:ind w:left="7568" w:hanging="130"/>
      </w:pPr>
      <w:rPr>
        <w:rFonts w:hint="default"/>
        <w:lang w:val="es-ES" w:eastAsia="en-US" w:bidi="ar-SA"/>
      </w:rPr>
    </w:lvl>
  </w:abstractNum>
  <w:abstractNum w:abstractNumId="3" w15:restartNumberingAfterBreak="0">
    <w:nsid w:val="0CED0AAA"/>
    <w:multiLevelType w:val="hybridMultilevel"/>
    <w:tmpl w:val="7F0A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2C1"/>
    <w:multiLevelType w:val="multilevel"/>
    <w:tmpl w:val="55540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96A79"/>
    <w:multiLevelType w:val="hybridMultilevel"/>
    <w:tmpl w:val="4F1E9FE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216153"/>
    <w:multiLevelType w:val="multilevel"/>
    <w:tmpl w:val="FECA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B02D3"/>
    <w:multiLevelType w:val="hybridMultilevel"/>
    <w:tmpl w:val="2F3A2D0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85F"/>
    <w:multiLevelType w:val="hybridMultilevel"/>
    <w:tmpl w:val="A5867B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3B9D"/>
    <w:multiLevelType w:val="multilevel"/>
    <w:tmpl w:val="6A6E6308"/>
    <w:lvl w:ilvl="0">
      <w:start w:val="1"/>
      <w:numFmt w:val="decimal"/>
      <w:lvlText w:val="%1."/>
      <w:lvlJc w:val="left"/>
      <w:pPr>
        <w:ind w:left="982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4" w:hanging="33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11" w:hanging="3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2" w:hanging="3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73" w:hanging="3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04" w:hanging="3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35" w:hanging="3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66" w:hanging="3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7" w:hanging="333"/>
      </w:pPr>
      <w:rPr>
        <w:rFonts w:hint="default"/>
        <w:lang w:val="es-ES" w:eastAsia="en-US" w:bidi="ar-SA"/>
      </w:rPr>
    </w:lvl>
  </w:abstractNum>
  <w:abstractNum w:abstractNumId="10" w15:restartNumberingAfterBreak="0">
    <w:nsid w:val="1CB337DD"/>
    <w:multiLevelType w:val="hybridMultilevel"/>
    <w:tmpl w:val="C3A8AB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42EA3"/>
    <w:multiLevelType w:val="hybridMultilevel"/>
    <w:tmpl w:val="BCE655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7513F"/>
    <w:multiLevelType w:val="multilevel"/>
    <w:tmpl w:val="40A4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A3B72"/>
    <w:multiLevelType w:val="hybridMultilevel"/>
    <w:tmpl w:val="D0143590"/>
    <w:lvl w:ilvl="0" w:tplc="F990C68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93" w:hanging="360"/>
      </w:pPr>
    </w:lvl>
    <w:lvl w:ilvl="2" w:tplc="040A001B" w:tentative="1">
      <w:start w:val="1"/>
      <w:numFmt w:val="lowerRoman"/>
      <w:lvlText w:val="%3."/>
      <w:lvlJc w:val="right"/>
      <w:pPr>
        <w:ind w:left="1913" w:hanging="180"/>
      </w:pPr>
    </w:lvl>
    <w:lvl w:ilvl="3" w:tplc="040A000F" w:tentative="1">
      <w:start w:val="1"/>
      <w:numFmt w:val="decimal"/>
      <w:lvlText w:val="%4."/>
      <w:lvlJc w:val="left"/>
      <w:pPr>
        <w:ind w:left="2633" w:hanging="360"/>
      </w:pPr>
    </w:lvl>
    <w:lvl w:ilvl="4" w:tplc="040A0019" w:tentative="1">
      <w:start w:val="1"/>
      <w:numFmt w:val="lowerLetter"/>
      <w:lvlText w:val="%5."/>
      <w:lvlJc w:val="left"/>
      <w:pPr>
        <w:ind w:left="3353" w:hanging="360"/>
      </w:pPr>
    </w:lvl>
    <w:lvl w:ilvl="5" w:tplc="040A001B" w:tentative="1">
      <w:start w:val="1"/>
      <w:numFmt w:val="lowerRoman"/>
      <w:lvlText w:val="%6."/>
      <w:lvlJc w:val="right"/>
      <w:pPr>
        <w:ind w:left="4073" w:hanging="180"/>
      </w:pPr>
    </w:lvl>
    <w:lvl w:ilvl="6" w:tplc="040A000F" w:tentative="1">
      <w:start w:val="1"/>
      <w:numFmt w:val="decimal"/>
      <w:lvlText w:val="%7."/>
      <w:lvlJc w:val="left"/>
      <w:pPr>
        <w:ind w:left="4793" w:hanging="360"/>
      </w:pPr>
    </w:lvl>
    <w:lvl w:ilvl="7" w:tplc="040A0019" w:tentative="1">
      <w:start w:val="1"/>
      <w:numFmt w:val="lowerLetter"/>
      <w:lvlText w:val="%8."/>
      <w:lvlJc w:val="left"/>
      <w:pPr>
        <w:ind w:left="5513" w:hanging="360"/>
      </w:pPr>
    </w:lvl>
    <w:lvl w:ilvl="8" w:tplc="04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AC55927"/>
    <w:multiLevelType w:val="multilevel"/>
    <w:tmpl w:val="E89E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F2208"/>
    <w:multiLevelType w:val="hybridMultilevel"/>
    <w:tmpl w:val="A57E6A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0473A"/>
    <w:multiLevelType w:val="multilevel"/>
    <w:tmpl w:val="8CC8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F65C6"/>
    <w:multiLevelType w:val="hybridMultilevel"/>
    <w:tmpl w:val="0E74E34A"/>
    <w:lvl w:ilvl="0" w:tplc="040A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D6848D1"/>
    <w:multiLevelType w:val="hybridMultilevel"/>
    <w:tmpl w:val="57BA0F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764FF"/>
    <w:multiLevelType w:val="hybridMultilevel"/>
    <w:tmpl w:val="C18CAF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D63F7"/>
    <w:multiLevelType w:val="multilevel"/>
    <w:tmpl w:val="A7F6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637BBC"/>
    <w:multiLevelType w:val="multilevel"/>
    <w:tmpl w:val="52BA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36E64"/>
    <w:multiLevelType w:val="hybridMultilevel"/>
    <w:tmpl w:val="7D4060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A1771"/>
    <w:multiLevelType w:val="multilevel"/>
    <w:tmpl w:val="E7F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4713FB"/>
    <w:multiLevelType w:val="hybridMultilevel"/>
    <w:tmpl w:val="8174B0C6"/>
    <w:lvl w:ilvl="0" w:tplc="0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773929F3"/>
    <w:multiLevelType w:val="multilevel"/>
    <w:tmpl w:val="2C0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904CB"/>
    <w:multiLevelType w:val="hybridMultilevel"/>
    <w:tmpl w:val="180C07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F0D56"/>
    <w:multiLevelType w:val="multilevel"/>
    <w:tmpl w:val="88E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6F0368"/>
    <w:multiLevelType w:val="multilevel"/>
    <w:tmpl w:val="BA08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FB0D0C"/>
    <w:multiLevelType w:val="hybridMultilevel"/>
    <w:tmpl w:val="925091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81254"/>
    <w:multiLevelType w:val="multilevel"/>
    <w:tmpl w:val="CE2E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E1DFD"/>
    <w:multiLevelType w:val="hybridMultilevel"/>
    <w:tmpl w:val="48649F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18525">
    <w:abstractNumId w:val="2"/>
  </w:num>
  <w:num w:numId="2" w16cid:durableId="636497869">
    <w:abstractNumId w:val="9"/>
  </w:num>
  <w:num w:numId="3" w16cid:durableId="2060083074">
    <w:abstractNumId w:val="19"/>
  </w:num>
  <w:num w:numId="4" w16cid:durableId="909733151">
    <w:abstractNumId w:val="5"/>
  </w:num>
  <w:num w:numId="5" w16cid:durableId="1184512897">
    <w:abstractNumId w:val="26"/>
  </w:num>
  <w:num w:numId="6" w16cid:durableId="110131845">
    <w:abstractNumId w:val="7"/>
  </w:num>
  <w:num w:numId="7" w16cid:durableId="560167600">
    <w:abstractNumId w:val="0"/>
  </w:num>
  <w:num w:numId="8" w16cid:durableId="357392397">
    <w:abstractNumId w:val="3"/>
  </w:num>
  <w:num w:numId="9" w16cid:durableId="4553961">
    <w:abstractNumId w:val="15"/>
  </w:num>
  <w:num w:numId="10" w16cid:durableId="212738679">
    <w:abstractNumId w:val="22"/>
  </w:num>
  <w:num w:numId="11" w16cid:durableId="597449897">
    <w:abstractNumId w:val="29"/>
  </w:num>
  <w:num w:numId="12" w16cid:durableId="26610308">
    <w:abstractNumId w:val="8"/>
  </w:num>
  <w:num w:numId="13" w16cid:durableId="1816411887">
    <w:abstractNumId w:val="10"/>
  </w:num>
  <w:num w:numId="14" w16cid:durableId="932710934">
    <w:abstractNumId w:val="11"/>
  </w:num>
  <w:num w:numId="15" w16cid:durableId="1704819855">
    <w:abstractNumId w:val="18"/>
  </w:num>
  <w:num w:numId="16" w16cid:durableId="16275411">
    <w:abstractNumId w:val="16"/>
  </w:num>
  <w:num w:numId="17" w16cid:durableId="1823277882">
    <w:abstractNumId w:val="6"/>
  </w:num>
  <w:num w:numId="18" w16cid:durableId="75825517">
    <w:abstractNumId w:val="28"/>
  </w:num>
  <w:num w:numId="19" w16cid:durableId="238831493">
    <w:abstractNumId w:val="21"/>
  </w:num>
  <w:num w:numId="20" w16cid:durableId="289632509">
    <w:abstractNumId w:val="25"/>
  </w:num>
  <w:num w:numId="21" w16cid:durableId="66807981">
    <w:abstractNumId w:val="27"/>
  </w:num>
  <w:num w:numId="22" w16cid:durableId="765466492">
    <w:abstractNumId w:val="23"/>
  </w:num>
  <w:num w:numId="23" w16cid:durableId="589699304">
    <w:abstractNumId w:val="12"/>
  </w:num>
  <w:num w:numId="24" w16cid:durableId="307441952">
    <w:abstractNumId w:val="14"/>
  </w:num>
  <w:num w:numId="25" w16cid:durableId="1285885092">
    <w:abstractNumId w:val="20"/>
  </w:num>
  <w:num w:numId="26" w16cid:durableId="2051103878">
    <w:abstractNumId w:val="4"/>
  </w:num>
  <w:num w:numId="27" w16cid:durableId="480586407">
    <w:abstractNumId w:val="30"/>
  </w:num>
  <w:num w:numId="28" w16cid:durableId="1104618674">
    <w:abstractNumId w:val="24"/>
  </w:num>
  <w:num w:numId="29" w16cid:durableId="777211912">
    <w:abstractNumId w:val="1"/>
  </w:num>
  <w:num w:numId="30" w16cid:durableId="910121352">
    <w:abstractNumId w:val="13"/>
  </w:num>
  <w:num w:numId="31" w16cid:durableId="736317571">
    <w:abstractNumId w:val="17"/>
  </w:num>
  <w:num w:numId="32" w16cid:durableId="6217673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A9"/>
    <w:rsid w:val="0019133B"/>
    <w:rsid w:val="001B735F"/>
    <w:rsid w:val="00214756"/>
    <w:rsid w:val="002D319B"/>
    <w:rsid w:val="002D457D"/>
    <w:rsid w:val="003C1E03"/>
    <w:rsid w:val="00584C10"/>
    <w:rsid w:val="005E65AC"/>
    <w:rsid w:val="00631E06"/>
    <w:rsid w:val="006C2186"/>
    <w:rsid w:val="00763730"/>
    <w:rsid w:val="00773126"/>
    <w:rsid w:val="007A6A32"/>
    <w:rsid w:val="00844EF1"/>
    <w:rsid w:val="008857A9"/>
    <w:rsid w:val="008E6A93"/>
    <w:rsid w:val="008F72AA"/>
    <w:rsid w:val="00992364"/>
    <w:rsid w:val="009A29C3"/>
    <w:rsid w:val="00A91DD0"/>
    <w:rsid w:val="00D476C9"/>
    <w:rsid w:val="00DD5B7A"/>
    <w:rsid w:val="00E8553D"/>
    <w:rsid w:val="00F639D7"/>
    <w:rsid w:val="00F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28D9"/>
  <w15:docId w15:val="{4E2A53D1-90AC-5A4D-8A2E-58C73EFA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481" w:hanging="21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92" w:hanging="33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391" w:hanging="12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45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5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45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57D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53D"/>
    <w:rPr>
      <w:rFonts w:ascii="Arial" w:eastAsia="Arial" w:hAnsi="Arial" w:cs="Arial"/>
      <w:lang w:val="es-ES"/>
    </w:rPr>
  </w:style>
  <w:style w:type="paragraph" w:customStyle="1" w:styleId="my-2">
    <w:name w:val="my-2"/>
    <w:basedOn w:val="Normal"/>
    <w:rsid w:val="006C21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R" w:eastAsia="es-ES_tradnl"/>
    </w:rPr>
  </w:style>
  <w:style w:type="character" w:customStyle="1" w:styleId="inline-flex">
    <w:name w:val="inline-flex"/>
    <w:basedOn w:val="Fuentedeprrafopredeter"/>
    <w:rsid w:val="006C2186"/>
  </w:style>
  <w:style w:type="character" w:customStyle="1" w:styleId="relative">
    <w:name w:val="relative"/>
    <w:basedOn w:val="Fuentedeprrafopredeter"/>
    <w:rsid w:val="006C2186"/>
  </w:style>
  <w:style w:type="character" w:styleId="Textoennegrita">
    <w:name w:val="Strong"/>
    <w:basedOn w:val="Fuentedeprrafopredeter"/>
    <w:uiPriority w:val="22"/>
    <w:qFormat/>
    <w:rsid w:val="006C218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C2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2236</Words>
  <Characters>12300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Olger</dc:creator>
  <cp:lastModifiedBy>Raul Silesky</cp:lastModifiedBy>
  <cp:revision>11</cp:revision>
  <dcterms:created xsi:type="dcterms:W3CDTF">2025-11-27T18:56:00Z</dcterms:created>
  <dcterms:modified xsi:type="dcterms:W3CDTF">2026-01-23T22:51:00Z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para Microsoft 365</vt:lpwstr>
  </property>
</Properties>
</file>