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D61A48" w:rsidRDefault="001B6F9A" w:rsidP="00F214DD">
      <w:pPr>
        <w:jc w:val="both"/>
        <w:rPr>
          <w:rFonts w:ascii="Arial" w:hAnsi="Arial" w:cs="Arial"/>
        </w:rPr>
      </w:pPr>
      <w:bookmarkStart w:id="0" w:name="_GoBack"/>
      <w:bookmarkEnd w:id="0"/>
    </w:p>
    <w:p w14:paraId="3D6E6C0F" w14:textId="77777777" w:rsidR="004138E7" w:rsidRPr="00D61A48" w:rsidRDefault="00C40A69" w:rsidP="00F214DD">
      <w:pPr>
        <w:jc w:val="both"/>
        <w:rPr>
          <w:rFonts w:ascii="Arial" w:hAnsi="Arial" w:cs="Arial"/>
          <w:lang w:eastAsia="es-CR"/>
        </w:rPr>
      </w:pPr>
      <w:r w:rsidRPr="00352B52">
        <w:rPr>
          <w:rFonts w:ascii="Arial" w:hAnsi="Arial" w:cs="Arial"/>
          <w:noProof/>
        </w:rPr>
        <w:object w:dxaOrig="4095" w:dyaOrig="2490" w14:anchorId="1B864350">
          <v:rect id="rectole0000000000" o:spid="_x0000_i1025" alt="" style="width:129.6pt;height:81.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83625146" r:id="rId6"/>
        </w:object>
      </w:r>
    </w:p>
    <w:p w14:paraId="4E2A128B" w14:textId="77777777" w:rsidR="002E7161" w:rsidRDefault="002E7161" w:rsidP="00F214DD">
      <w:pPr>
        <w:jc w:val="both"/>
        <w:rPr>
          <w:rFonts w:ascii="Arial" w:hAnsi="Arial" w:cs="Arial"/>
          <w:b/>
          <w:color w:val="000000" w:themeColor="text1"/>
          <w:lang w:eastAsia="es-CR"/>
        </w:rPr>
      </w:pPr>
    </w:p>
    <w:p w14:paraId="008396E5" w14:textId="733B8A00" w:rsidR="004138E7" w:rsidRPr="00D61A48" w:rsidRDefault="00240C82" w:rsidP="00F214DD">
      <w:pPr>
        <w:jc w:val="both"/>
        <w:rPr>
          <w:rFonts w:ascii="Arial" w:hAnsi="Arial" w:cs="Arial"/>
          <w:b/>
          <w:color w:val="000000" w:themeColor="text1"/>
          <w:lang w:eastAsia="es-CR"/>
        </w:rPr>
      </w:pPr>
      <w:r w:rsidRPr="00D61A48">
        <w:rPr>
          <w:rFonts w:ascii="Arial" w:hAnsi="Arial" w:cs="Arial"/>
          <w:b/>
          <w:color w:val="000000" w:themeColor="text1"/>
          <w:lang w:eastAsia="es-CR"/>
        </w:rPr>
        <w:t>A</w:t>
      </w:r>
      <w:r w:rsidR="006B262D" w:rsidRPr="00D61A48">
        <w:rPr>
          <w:rFonts w:ascii="Arial" w:hAnsi="Arial" w:cs="Arial"/>
          <w:b/>
          <w:color w:val="000000" w:themeColor="text1"/>
          <w:lang w:eastAsia="es-CR"/>
        </w:rPr>
        <w:t>CTA</w:t>
      </w:r>
      <w:r w:rsidR="00E13760" w:rsidRPr="00D61A48">
        <w:rPr>
          <w:rFonts w:ascii="Arial" w:hAnsi="Arial" w:cs="Arial"/>
          <w:b/>
          <w:color w:val="000000" w:themeColor="text1"/>
          <w:lang w:eastAsia="es-CR"/>
        </w:rPr>
        <w:t xml:space="preserve"> </w:t>
      </w:r>
      <w:r w:rsidR="00D30722" w:rsidRPr="00D61A48">
        <w:rPr>
          <w:rFonts w:ascii="Arial" w:hAnsi="Arial" w:cs="Arial"/>
          <w:b/>
          <w:color w:val="000000" w:themeColor="text1"/>
          <w:lang w:eastAsia="es-CR"/>
        </w:rPr>
        <w:t>18</w:t>
      </w:r>
      <w:r w:rsidR="002D2C02" w:rsidRPr="00D61A48">
        <w:rPr>
          <w:rFonts w:ascii="Arial" w:hAnsi="Arial" w:cs="Arial"/>
          <w:b/>
          <w:color w:val="000000" w:themeColor="text1"/>
          <w:lang w:eastAsia="es-CR"/>
        </w:rPr>
        <w:t>5</w:t>
      </w:r>
      <w:r w:rsidR="004138E7" w:rsidRPr="00D61A48">
        <w:rPr>
          <w:rFonts w:ascii="Arial" w:hAnsi="Arial" w:cs="Arial"/>
          <w:b/>
          <w:color w:val="000000" w:themeColor="text1"/>
          <w:lang w:eastAsia="es-CR"/>
        </w:rPr>
        <w:t xml:space="preserve"> /202</w:t>
      </w:r>
      <w:r w:rsidR="00D30722" w:rsidRPr="00D61A48">
        <w:rPr>
          <w:rFonts w:ascii="Arial" w:hAnsi="Arial" w:cs="Arial"/>
          <w:b/>
          <w:color w:val="000000" w:themeColor="text1"/>
          <w:lang w:eastAsia="es-CR"/>
        </w:rPr>
        <w:t>1</w:t>
      </w:r>
    </w:p>
    <w:p w14:paraId="534082F8" w14:textId="324429CA" w:rsidR="004138E7" w:rsidRPr="00D61A48" w:rsidRDefault="00E13760" w:rsidP="00F214DD">
      <w:pPr>
        <w:jc w:val="both"/>
        <w:rPr>
          <w:rFonts w:ascii="Arial" w:hAnsi="Arial" w:cs="Arial"/>
          <w:b/>
          <w:color w:val="000000" w:themeColor="text1"/>
          <w:lang w:eastAsia="es-CR"/>
        </w:rPr>
      </w:pPr>
      <w:r w:rsidRPr="00D61A48">
        <w:rPr>
          <w:rFonts w:ascii="Arial" w:hAnsi="Arial" w:cs="Arial"/>
          <w:b/>
          <w:color w:val="000000" w:themeColor="text1"/>
          <w:lang w:eastAsia="es-CR"/>
        </w:rPr>
        <w:t>19</w:t>
      </w:r>
      <w:r w:rsidR="004138E7" w:rsidRPr="00D61A48">
        <w:rPr>
          <w:rFonts w:ascii="Arial" w:hAnsi="Arial" w:cs="Arial"/>
          <w:b/>
          <w:color w:val="000000" w:themeColor="text1"/>
          <w:lang w:eastAsia="es-CR"/>
        </w:rPr>
        <w:t>-</w:t>
      </w:r>
      <w:r w:rsidR="00D30722" w:rsidRPr="00D61A48">
        <w:rPr>
          <w:rFonts w:ascii="Arial" w:hAnsi="Arial" w:cs="Arial"/>
          <w:b/>
          <w:color w:val="000000" w:themeColor="text1"/>
          <w:lang w:eastAsia="es-CR"/>
        </w:rPr>
        <w:t>0</w:t>
      </w:r>
      <w:r w:rsidR="002D2C02" w:rsidRPr="00D61A48">
        <w:rPr>
          <w:rFonts w:ascii="Arial" w:hAnsi="Arial" w:cs="Arial"/>
          <w:b/>
          <w:color w:val="000000" w:themeColor="text1"/>
          <w:lang w:eastAsia="es-CR"/>
        </w:rPr>
        <w:t>3</w:t>
      </w:r>
      <w:r w:rsidR="004138E7" w:rsidRPr="00D61A48">
        <w:rPr>
          <w:rFonts w:ascii="Arial" w:hAnsi="Arial" w:cs="Arial"/>
          <w:b/>
          <w:color w:val="000000" w:themeColor="text1"/>
          <w:lang w:eastAsia="es-CR"/>
        </w:rPr>
        <w:t>-202</w:t>
      </w:r>
      <w:r w:rsidR="00D30722" w:rsidRPr="00D61A48">
        <w:rPr>
          <w:rFonts w:ascii="Arial" w:hAnsi="Arial" w:cs="Arial"/>
          <w:b/>
          <w:color w:val="000000" w:themeColor="text1"/>
          <w:lang w:eastAsia="es-CR"/>
        </w:rPr>
        <w:t>1</w:t>
      </w:r>
    </w:p>
    <w:p w14:paraId="0EA3E2D4" w14:textId="77777777" w:rsidR="00922B99" w:rsidRPr="00D61A48" w:rsidRDefault="00922B99" w:rsidP="00F214DD">
      <w:pPr>
        <w:jc w:val="both"/>
        <w:rPr>
          <w:rFonts w:ascii="Arial" w:hAnsi="Arial" w:cs="Arial"/>
          <w:color w:val="000000" w:themeColor="text1"/>
          <w:lang w:eastAsia="es-CR"/>
        </w:rPr>
      </w:pPr>
    </w:p>
    <w:p w14:paraId="2B1D55C1" w14:textId="517F184B" w:rsidR="00602B79" w:rsidRPr="00D61A48" w:rsidRDefault="004138E7" w:rsidP="00F214DD">
      <w:pPr>
        <w:jc w:val="both"/>
        <w:rPr>
          <w:rFonts w:ascii="Arial" w:hAnsi="Arial" w:cs="Arial"/>
          <w:color w:val="000000" w:themeColor="text1"/>
          <w:lang w:eastAsia="es-CR"/>
        </w:rPr>
      </w:pPr>
      <w:r w:rsidRPr="00D61A48">
        <w:rPr>
          <w:rFonts w:ascii="Arial" w:hAnsi="Arial" w:cs="Arial"/>
          <w:color w:val="000000" w:themeColor="text1"/>
          <w:lang w:eastAsia="es-CR"/>
        </w:rPr>
        <w:t xml:space="preserve">Sesión de Junta Directiva del Instituto de Prensa y Libertad de Expresión (IPLEX), realizada </w:t>
      </w:r>
      <w:r w:rsidR="00D86977" w:rsidRPr="00D61A48">
        <w:rPr>
          <w:rFonts w:ascii="Arial" w:hAnsi="Arial" w:cs="Arial"/>
          <w:color w:val="000000" w:themeColor="text1"/>
          <w:lang w:eastAsia="es-CR"/>
        </w:rPr>
        <w:t>e</w:t>
      </w:r>
      <w:r w:rsidRPr="00D61A48">
        <w:rPr>
          <w:rFonts w:ascii="Arial" w:hAnsi="Arial" w:cs="Arial"/>
          <w:color w:val="000000" w:themeColor="text1"/>
          <w:lang w:eastAsia="es-CR"/>
        </w:rPr>
        <w:t xml:space="preserve">l </w:t>
      </w:r>
      <w:r w:rsidR="001C2CEC" w:rsidRPr="00D61A48">
        <w:rPr>
          <w:rFonts w:ascii="Arial" w:hAnsi="Arial" w:cs="Arial"/>
          <w:color w:val="000000" w:themeColor="text1"/>
          <w:lang w:eastAsia="es-CR"/>
        </w:rPr>
        <w:t xml:space="preserve">19 </w:t>
      </w:r>
      <w:r w:rsidR="002D2C02" w:rsidRPr="00D61A48">
        <w:rPr>
          <w:rFonts w:ascii="Arial" w:hAnsi="Arial" w:cs="Arial"/>
          <w:color w:val="000000" w:themeColor="text1"/>
          <w:lang w:eastAsia="es-CR"/>
        </w:rPr>
        <w:t>marzo</w:t>
      </w:r>
      <w:r w:rsidR="00C21ACB" w:rsidRPr="00D61A48">
        <w:rPr>
          <w:rFonts w:ascii="Arial" w:hAnsi="Arial" w:cs="Arial"/>
          <w:color w:val="000000" w:themeColor="text1"/>
          <w:lang w:eastAsia="es-CR"/>
        </w:rPr>
        <w:t xml:space="preserve"> </w:t>
      </w:r>
      <w:r w:rsidRPr="00D61A48">
        <w:rPr>
          <w:rFonts w:ascii="Arial" w:hAnsi="Arial" w:cs="Arial"/>
          <w:color w:val="000000" w:themeColor="text1"/>
          <w:lang w:eastAsia="es-CR"/>
        </w:rPr>
        <w:t>202</w:t>
      </w:r>
      <w:r w:rsidR="00D30722" w:rsidRPr="00D61A48">
        <w:rPr>
          <w:rFonts w:ascii="Arial" w:hAnsi="Arial" w:cs="Arial"/>
          <w:color w:val="000000" w:themeColor="text1"/>
          <w:lang w:eastAsia="es-CR"/>
        </w:rPr>
        <w:t xml:space="preserve">1 </w:t>
      </w:r>
      <w:r w:rsidR="002E7161">
        <w:rPr>
          <w:rFonts w:ascii="Arial" w:hAnsi="Arial" w:cs="Arial"/>
          <w:color w:val="000000" w:themeColor="text1"/>
          <w:lang w:eastAsia="es-CR"/>
        </w:rPr>
        <w:t xml:space="preserve">a </w:t>
      </w:r>
      <w:r w:rsidR="00D30722" w:rsidRPr="00D61A48">
        <w:rPr>
          <w:rFonts w:ascii="Arial" w:hAnsi="Arial" w:cs="Arial"/>
          <w:color w:val="000000" w:themeColor="text1"/>
          <w:lang w:eastAsia="es-CR"/>
        </w:rPr>
        <w:t>las</w:t>
      </w:r>
      <w:r w:rsidRPr="00D61A48">
        <w:rPr>
          <w:rFonts w:ascii="Arial" w:hAnsi="Arial" w:cs="Arial"/>
          <w:color w:val="000000" w:themeColor="text1"/>
          <w:lang w:eastAsia="es-CR"/>
        </w:rPr>
        <w:t xml:space="preserve"> </w:t>
      </w:r>
      <w:r w:rsidR="00D30722" w:rsidRPr="00D61A48">
        <w:rPr>
          <w:rFonts w:ascii="Arial" w:hAnsi="Arial" w:cs="Arial"/>
          <w:color w:val="000000" w:themeColor="text1"/>
          <w:lang w:eastAsia="es-CR"/>
        </w:rPr>
        <w:t xml:space="preserve">6 p.m. </w:t>
      </w:r>
      <w:r w:rsidRPr="00D61A48">
        <w:rPr>
          <w:rFonts w:ascii="Arial" w:hAnsi="Arial" w:cs="Arial"/>
          <w:color w:val="000000" w:themeColor="text1"/>
          <w:lang w:eastAsia="es-CR"/>
        </w:rPr>
        <w:t xml:space="preserve">con la asistencia </w:t>
      </w:r>
      <w:r w:rsidR="00D30722" w:rsidRPr="00D61A48">
        <w:rPr>
          <w:rFonts w:ascii="Arial" w:hAnsi="Arial" w:cs="Arial"/>
          <w:color w:val="000000" w:themeColor="text1"/>
          <w:lang w:eastAsia="es-CR"/>
        </w:rPr>
        <w:t xml:space="preserve">virtutal </w:t>
      </w:r>
      <w:r w:rsidRPr="00D61A48">
        <w:rPr>
          <w:rFonts w:ascii="Arial" w:hAnsi="Arial" w:cs="Arial"/>
          <w:color w:val="000000" w:themeColor="text1"/>
          <w:lang w:eastAsia="es-CR"/>
        </w:rPr>
        <w:t>de los siguientes miembros</w:t>
      </w:r>
      <w:r w:rsidR="00D30722" w:rsidRPr="00D61A48">
        <w:rPr>
          <w:rFonts w:ascii="Arial" w:hAnsi="Arial" w:cs="Arial"/>
          <w:color w:val="000000" w:themeColor="text1"/>
          <w:lang w:eastAsia="es-CR"/>
        </w:rPr>
        <w:t>:</w:t>
      </w:r>
    </w:p>
    <w:p w14:paraId="4EF84C57" w14:textId="77777777" w:rsidR="00922B99" w:rsidRPr="00D61A48" w:rsidRDefault="00922B99" w:rsidP="00F214DD">
      <w:pPr>
        <w:jc w:val="both"/>
        <w:rPr>
          <w:rFonts w:ascii="Arial" w:hAnsi="Arial" w:cs="Arial"/>
          <w:color w:val="000000" w:themeColor="text1"/>
          <w:lang w:eastAsia="es-CR"/>
        </w:rPr>
      </w:pPr>
    </w:p>
    <w:p w14:paraId="71AEA236" w14:textId="13D3E006" w:rsidR="001C2CEC" w:rsidRPr="00D61A48" w:rsidRDefault="000E05A6" w:rsidP="00F214DD">
      <w:pPr>
        <w:jc w:val="both"/>
        <w:rPr>
          <w:rFonts w:ascii="Arial" w:hAnsi="Arial" w:cs="Arial"/>
          <w:lang w:eastAsia="es-CR"/>
        </w:rPr>
      </w:pPr>
      <w:r w:rsidRPr="00D61A48">
        <w:rPr>
          <w:rFonts w:ascii="Arial" w:hAnsi="Arial" w:cs="Arial"/>
          <w:lang w:eastAsia="es-CR"/>
        </w:rPr>
        <w:t xml:space="preserve">Presentes: </w:t>
      </w:r>
      <w:r w:rsidR="0088740C" w:rsidRPr="00D61A48">
        <w:rPr>
          <w:rFonts w:ascii="Arial" w:hAnsi="Arial" w:cs="Arial"/>
          <w:lang w:eastAsia="es-CR"/>
        </w:rPr>
        <w:t>Raúl Silesky Jiménez, Presidente;</w:t>
      </w:r>
      <w:r w:rsidR="003F21C7" w:rsidRPr="00D61A48">
        <w:rPr>
          <w:rFonts w:ascii="Arial" w:hAnsi="Arial" w:cs="Arial"/>
          <w:lang w:eastAsia="es-CR"/>
        </w:rPr>
        <w:t xml:space="preserve"> </w:t>
      </w:r>
      <w:r w:rsidR="0088740C" w:rsidRPr="00D61A48">
        <w:rPr>
          <w:rFonts w:ascii="Arial" w:hAnsi="Arial" w:cs="Arial"/>
          <w:lang w:eastAsia="es-CR"/>
        </w:rPr>
        <w:t xml:space="preserve">Juan Pablo Estrada Gómez, </w:t>
      </w:r>
      <w:r w:rsidR="00EA6786" w:rsidRPr="00D61A48">
        <w:rPr>
          <w:rFonts w:ascii="Arial" w:hAnsi="Arial" w:cs="Arial"/>
          <w:lang w:eastAsia="es-CR"/>
        </w:rPr>
        <w:t>Secretario; Yanancy</w:t>
      </w:r>
      <w:r w:rsidR="0088740C" w:rsidRPr="00D61A48">
        <w:rPr>
          <w:rFonts w:ascii="Arial" w:hAnsi="Arial" w:cs="Arial"/>
          <w:lang w:eastAsia="es-CR"/>
        </w:rPr>
        <w:t xml:space="preserve"> Noguera, Tesorera</w:t>
      </w:r>
      <w:r w:rsidR="00C103B0" w:rsidRPr="00D61A48">
        <w:rPr>
          <w:rFonts w:ascii="Arial" w:hAnsi="Arial" w:cs="Arial"/>
          <w:lang w:eastAsia="es-CR"/>
        </w:rPr>
        <w:t xml:space="preserve">; Rocío </w:t>
      </w:r>
      <w:r w:rsidR="00EA6786" w:rsidRPr="00D61A48">
        <w:rPr>
          <w:rFonts w:ascii="Arial" w:hAnsi="Arial" w:cs="Arial"/>
          <w:lang w:eastAsia="es-CR"/>
        </w:rPr>
        <w:t>Álvarez</w:t>
      </w:r>
      <w:r w:rsidR="00C103B0" w:rsidRPr="00D61A48">
        <w:rPr>
          <w:rFonts w:ascii="Arial" w:hAnsi="Arial" w:cs="Arial"/>
          <w:lang w:eastAsia="es-CR"/>
        </w:rPr>
        <w:t xml:space="preserve"> </w:t>
      </w:r>
      <w:proofErr w:type="spellStart"/>
      <w:r w:rsidR="00C103B0" w:rsidRPr="00D61A48">
        <w:rPr>
          <w:rFonts w:ascii="Arial" w:hAnsi="Arial" w:cs="Arial"/>
          <w:lang w:eastAsia="es-CR"/>
        </w:rPr>
        <w:t>Olaso</w:t>
      </w:r>
      <w:proofErr w:type="spellEnd"/>
      <w:r w:rsidR="00C103B0" w:rsidRPr="00D61A48">
        <w:rPr>
          <w:rFonts w:ascii="Arial" w:hAnsi="Arial" w:cs="Arial"/>
          <w:lang w:eastAsia="es-CR"/>
        </w:rPr>
        <w:t>, Vocal I-Fi</w:t>
      </w:r>
      <w:r w:rsidR="00ED2824" w:rsidRPr="00D61A48">
        <w:rPr>
          <w:rFonts w:ascii="Arial" w:hAnsi="Arial" w:cs="Arial"/>
          <w:lang w:eastAsia="es-CR"/>
        </w:rPr>
        <w:t>s</w:t>
      </w:r>
      <w:r w:rsidR="00C103B0" w:rsidRPr="00D61A48">
        <w:rPr>
          <w:rFonts w:ascii="Arial" w:hAnsi="Arial" w:cs="Arial"/>
          <w:lang w:eastAsia="es-CR"/>
        </w:rPr>
        <w:t xml:space="preserve">cal </w:t>
      </w:r>
      <w:proofErr w:type="spellStart"/>
      <w:r w:rsidR="00C103B0" w:rsidRPr="00D61A48">
        <w:rPr>
          <w:rFonts w:ascii="Arial" w:hAnsi="Arial" w:cs="Arial"/>
          <w:lang w:eastAsia="es-CR"/>
        </w:rPr>
        <w:t>a.i</w:t>
      </w:r>
      <w:r w:rsidR="002E7161">
        <w:rPr>
          <w:rFonts w:ascii="Arial" w:hAnsi="Arial" w:cs="Arial"/>
          <w:lang w:eastAsia="es-CR"/>
        </w:rPr>
        <w:t>.</w:t>
      </w:r>
      <w:proofErr w:type="spellEnd"/>
    </w:p>
    <w:p w14:paraId="71A3C0CD" w14:textId="32287A66" w:rsidR="00F214DD" w:rsidRPr="00D61A48" w:rsidRDefault="00F214DD" w:rsidP="00F214DD">
      <w:pPr>
        <w:jc w:val="both"/>
        <w:rPr>
          <w:rFonts w:ascii="Arial" w:hAnsi="Arial" w:cs="Arial"/>
          <w:lang w:eastAsia="es-CR"/>
        </w:rPr>
      </w:pPr>
    </w:p>
    <w:p w14:paraId="55EC73B2" w14:textId="5F17D032" w:rsidR="00F214DD" w:rsidRPr="00D61A48" w:rsidRDefault="00F214DD" w:rsidP="00F214DD">
      <w:pPr>
        <w:jc w:val="both"/>
        <w:rPr>
          <w:rFonts w:ascii="Arial" w:hAnsi="Arial" w:cs="Arial"/>
          <w:color w:val="00B0F0"/>
        </w:rPr>
      </w:pPr>
      <w:r w:rsidRPr="00D61A48">
        <w:rPr>
          <w:rFonts w:ascii="Arial" w:hAnsi="Arial" w:cs="Arial"/>
          <w:lang w:eastAsia="es-CR"/>
        </w:rPr>
        <w:t>Ausente con justificación: María de los Ángeles Gutiérrez Vargas, Vicepresidente</w:t>
      </w:r>
      <w:r w:rsidR="00E23642" w:rsidRPr="00D61A48">
        <w:rPr>
          <w:rFonts w:ascii="Arial" w:hAnsi="Arial" w:cs="Arial"/>
          <w:lang w:eastAsia="es-CR"/>
        </w:rPr>
        <w:t>; Alejandro Delgado Faith, Vocal II</w:t>
      </w:r>
      <w:r w:rsidR="000D49AB">
        <w:rPr>
          <w:rFonts w:ascii="Arial" w:hAnsi="Arial" w:cs="Arial"/>
          <w:lang w:eastAsia="es-CR"/>
        </w:rPr>
        <w:t>.</w:t>
      </w:r>
    </w:p>
    <w:p w14:paraId="52E4CBF4" w14:textId="264C3DBF" w:rsidR="00922B99" w:rsidRPr="00D61A48" w:rsidRDefault="00922B99" w:rsidP="00F214DD">
      <w:pPr>
        <w:jc w:val="both"/>
        <w:rPr>
          <w:rFonts w:ascii="Arial" w:hAnsi="Arial" w:cs="Arial"/>
        </w:rPr>
      </w:pPr>
    </w:p>
    <w:p w14:paraId="4ACC9F82" w14:textId="77777777" w:rsidR="005C3642" w:rsidRPr="00D61A48" w:rsidRDefault="005C3642" w:rsidP="00F214DD">
      <w:pPr>
        <w:jc w:val="both"/>
        <w:rPr>
          <w:rFonts w:ascii="Arial" w:hAnsi="Arial" w:cs="Arial"/>
          <w:b/>
          <w:color w:val="000000" w:themeColor="text1"/>
          <w:lang w:eastAsia="es-CR"/>
        </w:rPr>
      </w:pPr>
      <w:r w:rsidRPr="00D61A48">
        <w:rPr>
          <w:rFonts w:ascii="Arial" w:hAnsi="Arial" w:cs="Arial"/>
          <w:bCs/>
          <w:color w:val="000000" w:themeColor="text1"/>
          <w:lang w:eastAsia="es-CR"/>
        </w:rPr>
        <w:t>Artículo I:</w:t>
      </w:r>
      <w:r w:rsidRPr="00D61A48">
        <w:rPr>
          <w:rFonts w:ascii="Arial" w:hAnsi="Arial" w:cs="Arial"/>
          <w:b/>
          <w:color w:val="000000" w:themeColor="text1"/>
          <w:lang w:eastAsia="es-CR"/>
        </w:rPr>
        <w:t xml:space="preserve"> Aprobación Acta</w:t>
      </w:r>
    </w:p>
    <w:p w14:paraId="321E7754" w14:textId="32EA5CCC" w:rsidR="002E43B6" w:rsidRPr="00D61A48" w:rsidRDefault="002E43B6" w:rsidP="00F214DD">
      <w:pPr>
        <w:jc w:val="both"/>
        <w:rPr>
          <w:rFonts w:ascii="Arial" w:hAnsi="Arial" w:cs="Arial"/>
          <w:bCs/>
          <w:lang w:eastAsia="es-CR"/>
        </w:rPr>
      </w:pPr>
      <w:r w:rsidRPr="00D61A48">
        <w:rPr>
          <w:rFonts w:ascii="Arial" w:hAnsi="Arial" w:cs="Arial"/>
          <w:bCs/>
          <w:color w:val="000000" w:themeColor="text1"/>
          <w:lang w:eastAsia="es-CR"/>
        </w:rPr>
        <w:t xml:space="preserve">Se aprueba </w:t>
      </w:r>
      <w:r w:rsidR="000E4B29" w:rsidRPr="00D61A48">
        <w:rPr>
          <w:rFonts w:ascii="Arial" w:hAnsi="Arial" w:cs="Arial"/>
          <w:bCs/>
          <w:color w:val="000000" w:themeColor="text1"/>
          <w:lang w:eastAsia="es-CR"/>
        </w:rPr>
        <w:t>el</w:t>
      </w:r>
      <w:r w:rsidRPr="00D61A48">
        <w:rPr>
          <w:rFonts w:ascii="Arial" w:hAnsi="Arial" w:cs="Arial"/>
          <w:bCs/>
          <w:color w:val="000000" w:themeColor="text1"/>
          <w:lang w:eastAsia="es-CR"/>
        </w:rPr>
        <w:t xml:space="preserve"> acta 1</w:t>
      </w:r>
      <w:r w:rsidR="00C21ACB" w:rsidRPr="00D61A48">
        <w:rPr>
          <w:rFonts w:ascii="Arial" w:hAnsi="Arial" w:cs="Arial"/>
          <w:bCs/>
          <w:color w:val="000000" w:themeColor="text1"/>
          <w:lang w:eastAsia="es-CR"/>
        </w:rPr>
        <w:t>8</w:t>
      </w:r>
      <w:r w:rsidR="002D2C02" w:rsidRPr="00D61A48">
        <w:rPr>
          <w:rFonts w:ascii="Arial" w:hAnsi="Arial" w:cs="Arial"/>
          <w:bCs/>
          <w:color w:val="000000" w:themeColor="text1"/>
          <w:lang w:eastAsia="es-CR"/>
        </w:rPr>
        <w:t>4</w:t>
      </w:r>
      <w:r w:rsidR="00C228D6" w:rsidRPr="00D61A48">
        <w:rPr>
          <w:rFonts w:ascii="Arial" w:hAnsi="Arial" w:cs="Arial"/>
          <w:bCs/>
          <w:color w:val="000000" w:themeColor="text1"/>
          <w:lang w:eastAsia="es-CR"/>
        </w:rPr>
        <w:t xml:space="preserve"> d</w:t>
      </w:r>
      <w:r w:rsidRPr="00D61A48">
        <w:rPr>
          <w:rFonts w:ascii="Arial" w:hAnsi="Arial" w:cs="Arial"/>
          <w:bCs/>
          <w:color w:val="000000" w:themeColor="text1"/>
          <w:lang w:eastAsia="es-CR"/>
        </w:rPr>
        <w:t>e Junta Directiva</w:t>
      </w:r>
      <w:r w:rsidRPr="00D61A48">
        <w:rPr>
          <w:rFonts w:ascii="Arial" w:hAnsi="Arial" w:cs="Arial"/>
          <w:bCs/>
          <w:lang w:eastAsia="es-CR"/>
        </w:rPr>
        <w:t>.</w:t>
      </w:r>
    </w:p>
    <w:p w14:paraId="0A3CF7C6" w14:textId="77777777" w:rsidR="00922B99" w:rsidRPr="00D61A48" w:rsidRDefault="00922B99" w:rsidP="00F214DD">
      <w:pPr>
        <w:jc w:val="both"/>
        <w:rPr>
          <w:rFonts w:ascii="Arial" w:hAnsi="Arial" w:cs="Arial"/>
          <w:bCs/>
          <w:lang w:eastAsia="es-CR"/>
        </w:rPr>
      </w:pPr>
    </w:p>
    <w:p w14:paraId="58A7EBC9" w14:textId="0F4FFA2B" w:rsidR="005C3642" w:rsidRPr="00D61A48" w:rsidRDefault="005C3642" w:rsidP="00F214DD">
      <w:pPr>
        <w:jc w:val="both"/>
        <w:rPr>
          <w:rFonts w:ascii="Arial" w:hAnsi="Arial" w:cs="Arial"/>
          <w:b/>
          <w:lang w:eastAsia="es-CR"/>
        </w:rPr>
      </w:pPr>
      <w:r w:rsidRPr="00D61A48">
        <w:rPr>
          <w:rFonts w:ascii="Arial" w:hAnsi="Arial" w:cs="Arial"/>
          <w:bCs/>
          <w:lang w:eastAsia="es-CR"/>
        </w:rPr>
        <w:t>Artículo II:</w:t>
      </w:r>
      <w:r w:rsidRPr="00D61A48">
        <w:rPr>
          <w:rFonts w:ascii="Arial" w:hAnsi="Arial" w:cs="Arial"/>
          <w:b/>
          <w:lang w:eastAsia="es-CR"/>
        </w:rPr>
        <w:t xml:space="preserve"> Informes</w:t>
      </w:r>
    </w:p>
    <w:p w14:paraId="0F5998EB" w14:textId="348731C4" w:rsidR="00D30722" w:rsidRPr="00D61A48" w:rsidRDefault="004650A4" w:rsidP="00F214DD">
      <w:pPr>
        <w:jc w:val="both"/>
        <w:rPr>
          <w:rFonts w:ascii="Arial" w:hAnsi="Arial" w:cs="Arial"/>
          <w:lang w:eastAsia="es-CR"/>
        </w:rPr>
      </w:pPr>
      <w:r w:rsidRPr="00D61A48">
        <w:rPr>
          <w:rFonts w:ascii="Arial" w:hAnsi="Arial" w:cs="Arial"/>
          <w:lang w:eastAsia="es-CR"/>
        </w:rPr>
        <w:t xml:space="preserve">El </w:t>
      </w:r>
      <w:r w:rsidR="00CD5C27" w:rsidRPr="00D61A48">
        <w:rPr>
          <w:rFonts w:ascii="Arial" w:hAnsi="Arial" w:cs="Arial"/>
          <w:lang w:eastAsia="es-CR"/>
        </w:rPr>
        <w:t>Auxiliar</w:t>
      </w:r>
      <w:r w:rsidR="005A1288" w:rsidRPr="00D61A48">
        <w:rPr>
          <w:rFonts w:ascii="Arial" w:hAnsi="Arial" w:cs="Arial"/>
          <w:lang w:eastAsia="es-CR"/>
        </w:rPr>
        <w:t xml:space="preserve"> del Instituto</w:t>
      </w:r>
      <w:r w:rsidRPr="00D61A48">
        <w:rPr>
          <w:rFonts w:ascii="Arial" w:hAnsi="Arial" w:cs="Arial"/>
          <w:lang w:eastAsia="es-CR"/>
        </w:rPr>
        <w:t xml:space="preserve"> expone el trabajo realizado</w:t>
      </w:r>
      <w:r w:rsidR="005A1288" w:rsidRPr="00D61A48">
        <w:rPr>
          <w:rFonts w:ascii="Arial" w:hAnsi="Arial" w:cs="Arial"/>
          <w:lang w:eastAsia="es-CR"/>
        </w:rPr>
        <w:t>:</w:t>
      </w:r>
    </w:p>
    <w:p w14:paraId="4210A14D" w14:textId="77777777" w:rsidR="00D61A48" w:rsidRPr="00F214DD" w:rsidRDefault="00D61A48" w:rsidP="00D61A48">
      <w:pPr>
        <w:jc w:val="both"/>
        <w:rPr>
          <w:rFonts w:ascii="Arial" w:hAnsi="Arial" w:cs="Arial"/>
          <w:i/>
          <w:iCs/>
          <w:sz w:val="22"/>
          <w:szCs w:val="22"/>
          <w:lang w:eastAsia="es-CR"/>
        </w:rPr>
      </w:pPr>
    </w:p>
    <w:p w14:paraId="1308DA25" w14:textId="77777777" w:rsidR="00D61A48" w:rsidRDefault="00D61A48" w:rsidP="00D61A48">
      <w:pPr>
        <w:jc w:val="both"/>
        <w:rPr>
          <w:rFonts w:ascii="Arial" w:hAnsi="Arial" w:cs="Arial"/>
          <w:b/>
          <w:bCs/>
          <w:i/>
          <w:iCs/>
          <w:color w:val="000000" w:themeColor="text1"/>
          <w:sz w:val="22"/>
          <w:szCs w:val="22"/>
        </w:rPr>
      </w:pPr>
      <w:r w:rsidRPr="00F214DD">
        <w:rPr>
          <w:rFonts w:ascii="Arial" w:hAnsi="Arial" w:cs="Arial"/>
          <w:b/>
          <w:bCs/>
          <w:i/>
          <w:iCs/>
          <w:color w:val="000000" w:themeColor="text1"/>
          <w:sz w:val="22"/>
          <w:szCs w:val="22"/>
        </w:rPr>
        <w:t>“Informe labores 19 de febrero del 2021-19 de marzo de 2021</w:t>
      </w:r>
    </w:p>
    <w:p w14:paraId="55A588BE" w14:textId="77777777" w:rsidR="00D61A48" w:rsidRPr="00F214DD" w:rsidRDefault="00D61A48" w:rsidP="00D61A48">
      <w:pPr>
        <w:jc w:val="both"/>
        <w:rPr>
          <w:rFonts w:ascii="Arial" w:hAnsi="Arial" w:cs="Arial"/>
          <w:b/>
          <w:bCs/>
          <w:i/>
          <w:iCs/>
          <w:color w:val="000000" w:themeColor="text1"/>
          <w:sz w:val="22"/>
          <w:szCs w:val="22"/>
        </w:rPr>
      </w:pPr>
    </w:p>
    <w:p w14:paraId="4A7BCFEB" w14:textId="77777777" w:rsidR="00D61A48" w:rsidRPr="00F214DD" w:rsidRDefault="00D61A48" w:rsidP="00D61A48">
      <w:pPr>
        <w:pStyle w:val="Prrafodelista"/>
        <w:numPr>
          <w:ilvl w:val="0"/>
          <w:numId w:val="10"/>
        </w:numPr>
        <w:spacing w:after="0" w:line="240" w:lineRule="auto"/>
        <w:jc w:val="both"/>
        <w:rPr>
          <w:rFonts w:ascii="Arial" w:hAnsi="Arial" w:cs="Arial"/>
          <w:b/>
          <w:bCs/>
          <w:i/>
          <w:iCs/>
          <w:color w:val="000000" w:themeColor="text1"/>
        </w:rPr>
      </w:pPr>
      <w:r w:rsidRPr="00F214DD">
        <w:rPr>
          <w:rFonts w:ascii="Arial" w:hAnsi="Arial" w:cs="Arial"/>
          <w:b/>
          <w:bCs/>
          <w:i/>
          <w:iCs/>
          <w:color w:val="000000" w:themeColor="text1"/>
        </w:rPr>
        <w:t>Sobre la periodista Lucía Navas</w:t>
      </w:r>
    </w:p>
    <w:p w14:paraId="0AE43D9F" w14:textId="77777777" w:rsidR="00D61A48" w:rsidRPr="00F214DD" w:rsidRDefault="00D61A48" w:rsidP="00D61A48">
      <w:pPr>
        <w:jc w:val="both"/>
        <w:rPr>
          <w:rFonts w:ascii="Arial" w:hAnsi="Arial" w:cs="Arial"/>
          <w:i/>
          <w:iCs/>
          <w:color w:val="000000" w:themeColor="text1"/>
          <w:sz w:val="22"/>
          <w:szCs w:val="22"/>
        </w:rPr>
      </w:pPr>
      <w:r w:rsidRPr="00F214DD">
        <w:rPr>
          <w:rFonts w:ascii="Arial" w:hAnsi="Arial" w:cs="Arial"/>
          <w:i/>
          <w:iCs/>
          <w:color w:val="000000" w:themeColor="text1"/>
          <w:sz w:val="22"/>
          <w:szCs w:val="22"/>
        </w:rPr>
        <w:t>Se procedió con la recepción de la periodista Lucía Navas el martes 23 de febrero. Se coordina entre ello la contratación del servicio de transporte privado en el sentido aeropuerto- San Pedro. Además de lo respectivo a la gestión de sus viáticos de alimentación y transporte interno.</w:t>
      </w:r>
    </w:p>
    <w:p w14:paraId="711CA8AB" w14:textId="77777777" w:rsidR="00D61A48" w:rsidRPr="00F214DD" w:rsidRDefault="00D61A48" w:rsidP="00D61A48">
      <w:pPr>
        <w:jc w:val="both"/>
        <w:rPr>
          <w:rFonts w:ascii="Arial" w:hAnsi="Arial" w:cs="Arial"/>
          <w:i/>
          <w:iCs/>
          <w:color w:val="000000" w:themeColor="text1"/>
          <w:sz w:val="22"/>
          <w:szCs w:val="22"/>
        </w:rPr>
      </w:pPr>
      <w:r w:rsidRPr="00F214DD">
        <w:rPr>
          <w:rFonts w:ascii="Arial" w:hAnsi="Arial" w:cs="Arial"/>
          <w:i/>
          <w:iCs/>
          <w:color w:val="000000" w:themeColor="text1"/>
          <w:sz w:val="22"/>
          <w:szCs w:val="22"/>
        </w:rPr>
        <w:t>Tras la notificación de la cancelación de Avianca de su tiquete aéreo se inició el proceso de solicitud de prórroga del visado de turismo. Actualmente el Instituto Nacional de Seguros se encuentra estudiando la solicitud.</w:t>
      </w:r>
    </w:p>
    <w:p w14:paraId="737F92E4" w14:textId="77777777" w:rsidR="00D61A48" w:rsidRPr="00F214DD" w:rsidRDefault="00D61A48" w:rsidP="00D61A48">
      <w:pPr>
        <w:pStyle w:val="Prrafodelista"/>
        <w:numPr>
          <w:ilvl w:val="0"/>
          <w:numId w:val="10"/>
        </w:numPr>
        <w:spacing w:after="0" w:line="240" w:lineRule="auto"/>
        <w:jc w:val="both"/>
        <w:rPr>
          <w:rFonts w:ascii="Arial" w:hAnsi="Arial" w:cs="Arial"/>
          <w:b/>
          <w:bCs/>
          <w:i/>
          <w:iCs/>
          <w:color w:val="000000" w:themeColor="text1"/>
        </w:rPr>
      </w:pPr>
      <w:r w:rsidRPr="00F214DD">
        <w:rPr>
          <w:rFonts w:ascii="Arial" w:hAnsi="Arial" w:cs="Arial"/>
          <w:b/>
          <w:bCs/>
          <w:i/>
          <w:iCs/>
          <w:color w:val="000000" w:themeColor="text1"/>
        </w:rPr>
        <w:t>Recepción de perfiles de periodistas</w:t>
      </w:r>
    </w:p>
    <w:p w14:paraId="00332EE4" w14:textId="77777777" w:rsidR="00D61A48" w:rsidRPr="00F214DD" w:rsidRDefault="00D61A48" w:rsidP="00D61A48">
      <w:pPr>
        <w:jc w:val="both"/>
        <w:rPr>
          <w:rFonts w:ascii="Arial" w:hAnsi="Arial" w:cs="Arial"/>
          <w:i/>
          <w:iCs/>
          <w:color w:val="000000" w:themeColor="text1"/>
          <w:sz w:val="22"/>
          <w:szCs w:val="22"/>
        </w:rPr>
      </w:pPr>
      <w:r w:rsidRPr="00F214DD">
        <w:rPr>
          <w:rFonts w:ascii="Arial" w:hAnsi="Arial" w:cs="Arial"/>
          <w:i/>
          <w:iCs/>
          <w:color w:val="000000" w:themeColor="text1"/>
          <w:sz w:val="22"/>
          <w:szCs w:val="22"/>
        </w:rPr>
        <w:t>Se han recibido dos perfiles de periodistas que podrían ser parte del proyecto. Siendo ellas la señora Michelle Polanco y la señora Emma Amador. Se aprobó los perfiles y se les colocó en sus respectivos grupos en concordancia con su condición de visado a la hora de participar del proyecto.</w:t>
      </w:r>
    </w:p>
    <w:p w14:paraId="469A9042" w14:textId="77777777" w:rsidR="00D61A48" w:rsidRPr="00F214DD" w:rsidRDefault="00D61A48" w:rsidP="00D61A48">
      <w:pPr>
        <w:pStyle w:val="Prrafodelista"/>
        <w:numPr>
          <w:ilvl w:val="0"/>
          <w:numId w:val="10"/>
        </w:numPr>
        <w:spacing w:after="0" w:line="240" w:lineRule="auto"/>
        <w:jc w:val="both"/>
        <w:rPr>
          <w:rFonts w:ascii="Arial" w:hAnsi="Arial" w:cs="Arial"/>
          <w:b/>
          <w:bCs/>
          <w:i/>
          <w:iCs/>
          <w:color w:val="000000" w:themeColor="text1"/>
        </w:rPr>
      </w:pPr>
      <w:r w:rsidRPr="00F214DD">
        <w:rPr>
          <w:rFonts w:ascii="Arial" w:hAnsi="Arial" w:cs="Arial"/>
          <w:b/>
          <w:bCs/>
          <w:i/>
          <w:iCs/>
          <w:color w:val="000000" w:themeColor="text1"/>
        </w:rPr>
        <w:t>Comunicación con el Consulado en Chinandega y Managua</w:t>
      </w:r>
    </w:p>
    <w:p w14:paraId="329D0CFE" w14:textId="77777777" w:rsidR="00D61A48" w:rsidRPr="00F214DD" w:rsidRDefault="00D61A48" w:rsidP="00D61A48">
      <w:pPr>
        <w:shd w:val="clear" w:color="auto" w:fill="FFFFFF"/>
        <w:jc w:val="both"/>
        <w:rPr>
          <w:rFonts w:ascii="Arial" w:hAnsi="Arial" w:cs="Arial"/>
          <w:i/>
          <w:iCs/>
          <w:color w:val="222222"/>
          <w:sz w:val="22"/>
          <w:szCs w:val="22"/>
          <w:lang w:val="es-419"/>
        </w:rPr>
      </w:pPr>
      <w:r w:rsidRPr="00F214DD">
        <w:rPr>
          <w:rFonts w:ascii="Arial" w:hAnsi="Arial" w:cs="Arial"/>
          <w:i/>
          <w:iCs/>
          <w:color w:val="000000" w:themeColor="text1"/>
          <w:sz w:val="22"/>
          <w:szCs w:val="22"/>
        </w:rPr>
        <w:t xml:space="preserve">A la luz de las limitaciones que produce la </w:t>
      </w:r>
      <w:r w:rsidRPr="00F214DD">
        <w:rPr>
          <w:rFonts w:ascii="Arial" w:hAnsi="Arial" w:cs="Arial"/>
          <w:i/>
          <w:iCs/>
          <w:color w:val="000000"/>
          <w:sz w:val="22"/>
          <w:szCs w:val="22"/>
          <w:shd w:val="clear" w:color="auto" w:fill="FFFFFF"/>
        </w:rPr>
        <w:t xml:space="preserve">resolución N° DJUR-01-10-2021-JM sobre la suspensión hasta el 31 de abril del otorgamiento de visas consulares. Se procedió con un proceso de comunicación constante con el consulado en Chinandega y el consulado en Managua para consultar la posibilidad de conseguir un visado auxiliar para personas defensoras de Derechos Humanos. Se concluye que </w:t>
      </w:r>
      <w:r w:rsidRPr="00F214DD">
        <w:rPr>
          <w:rFonts w:ascii="Arial" w:hAnsi="Arial" w:cs="Arial"/>
          <w:i/>
          <w:iCs/>
          <w:color w:val="000000"/>
          <w:sz w:val="22"/>
          <w:szCs w:val="22"/>
          <w:lang w:val="es-419"/>
        </w:rPr>
        <w:t xml:space="preserve">cualquier permiso especial en el contexto de pandemia debe ser atendido por la Unidad de visas de la dirección General de </w:t>
      </w:r>
      <w:r w:rsidRPr="00F214DD">
        <w:rPr>
          <w:rFonts w:ascii="Arial" w:hAnsi="Arial" w:cs="Arial"/>
          <w:i/>
          <w:iCs/>
          <w:color w:val="000000"/>
          <w:sz w:val="22"/>
          <w:szCs w:val="22"/>
          <w:lang w:val="es-419"/>
        </w:rPr>
        <w:lastRenderedPageBreak/>
        <w:t>Migración y Extranjería, quienes de aprobar giran la orden al consulado para su estampado correspondiente. Sin embargo, me previene de que en el contexto de pandemia sólo aplica un permiso especial en los siguientes supuestos:</w:t>
      </w:r>
    </w:p>
    <w:p w14:paraId="4E084C68" w14:textId="77777777" w:rsidR="00D61A48" w:rsidRPr="00F214DD" w:rsidRDefault="00D61A48" w:rsidP="00D61A48">
      <w:pPr>
        <w:shd w:val="clear" w:color="auto" w:fill="FFFFFF"/>
        <w:jc w:val="both"/>
        <w:rPr>
          <w:rFonts w:ascii="Arial" w:hAnsi="Arial" w:cs="Arial"/>
          <w:i/>
          <w:iCs/>
          <w:color w:val="222222"/>
          <w:sz w:val="22"/>
          <w:szCs w:val="22"/>
          <w:lang w:val="es-419"/>
        </w:rPr>
      </w:pPr>
    </w:p>
    <w:p w14:paraId="2F680D58" w14:textId="77777777" w:rsidR="00D61A48" w:rsidRPr="00F214DD" w:rsidRDefault="00D61A48" w:rsidP="00D61A48">
      <w:pPr>
        <w:shd w:val="clear" w:color="auto" w:fill="FFFFFF"/>
        <w:jc w:val="both"/>
        <w:rPr>
          <w:rFonts w:ascii="Arial" w:hAnsi="Arial" w:cs="Arial"/>
          <w:i/>
          <w:iCs/>
          <w:color w:val="000000"/>
          <w:sz w:val="22"/>
          <w:szCs w:val="22"/>
          <w:lang w:val="es-419"/>
        </w:rPr>
      </w:pPr>
      <w:r w:rsidRPr="00F214DD">
        <w:rPr>
          <w:rFonts w:ascii="Arial" w:hAnsi="Arial" w:cs="Arial"/>
          <w:i/>
          <w:iCs/>
          <w:color w:val="000000"/>
          <w:sz w:val="22"/>
          <w:szCs w:val="22"/>
          <w:lang w:val="es-419"/>
        </w:rPr>
        <w:t>i. Personas estudiantes o personal académico de instituciones acreditadas ante la Dirección General de Migración y Extranjería.</w:t>
      </w:r>
    </w:p>
    <w:p w14:paraId="45D4C176" w14:textId="77777777" w:rsidR="00D61A48" w:rsidRPr="00F214DD" w:rsidRDefault="00D61A48" w:rsidP="00D61A48">
      <w:pPr>
        <w:shd w:val="clear" w:color="auto" w:fill="FFFFFF"/>
        <w:jc w:val="both"/>
        <w:rPr>
          <w:rFonts w:ascii="Arial" w:hAnsi="Arial" w:cs="Arial"/>
          <w:i/>
          <w:iCs/>
          <w:color w:val="000000"/>
          <w:sz w:val="22"/>
          <w:szCs w:val="22"/>
          <w:lang w:val="es-419"/>
        </w:rPr>
      </w:pPr>
      <w:r w:rsidRPr="00F214DD">
        <w:rPr>
          <w:rFonts w:ascii="Arial" w:hAnsi="Arial" w:cs="Arial"/>
          <w:i/>
          <w:iCs/>
          <w:color w:val="000000"/>
          <w:sz w:val="22"/>
          <w:szCs w:val="22"/>
          <w:lang w:val="es-419"/>
        </w:rPr>
        <w:t>ii. Personas Gerentes, Ejecutivas y Personal técnico especializado de empresas acreditadas ante la Dirección General de Migración y Extranjería.</w:t>
      </w:r>
    </w:p>
    <w:p w14:paraId="0E0E9334" w14:textId="77777777" w:rsidR="00D61A48" w:rsidRPr="00F214DD" w:rsidRDefault="00D61A48" w:rsidP="00D61A48">
      <w:pPr>
        <w:shd w:val="clear" w:color="auto" w:fill="FFFFFF"/>
        <w:jc w:val="both"/>
        <w:rPr>
          <w:rFonts w:ascii="Arial" w:hAnsi="Arial" w:cs="Arial"/>
          <w:i/>
          <w:iCs/>
          <w:color w:val="000000"/>
          <w:sz w:val="22"/>
          <w:szCs w:val="22"/>
          <w:lang w:val="es-419"/>
        </w:rPr>
      </w:pPr>
      <w:r w:rsidRPr="00F214DD">
        <w:rPr>
          <w:rFonts w:ascii="Arial" w:hAnsi="Arial" w:cs="Arial"/>
          <w:i/>
          <w:iCs/>
          <w:color w:val="000000"/>
          <w:sz w:val="22"/>
          <w:szCs w:val="22"/>
          <w:lang w:val="es-419"/>
        </w:rPr>
        <w:t>iii. Personas Extranjeras cuya solicitud de ingreso sea realizada por una institución gubernamental en virtud de interés público de las labores que pretenda realizar en el país.</w:t>
      </w:r>
    </w:p>
    <w:p w14:paraId="6031E25E" w14:textId="77777777" w:rsidR="00D61A48" w:rsidRPr="00F214DD" w:rsidRDefault="00D61A48" w:rsidP="00D61A48">
      <w:pPr>
        <w:shd w:val="clear" w:color="auto" w:fill="FFFFFF"/>
        <w:jc w:val="both"/>
        <w:rPr>
          <w:rFonts w:ascii="Arial" w:hAnsi="Arial" w:cs="Arial"/>
          <w:i/>
          <w:iCs/>
          <w:color w:val="000000"/>
          <w:sz w:val="22"/>
          <w:szCs w:val="22"/>
          <w:lang w:val="es-419"/>
        </w:rPr>
      </w:pPr>
    </w:p>
    <w:p w14:paraId="74C61DFE" w14:textId="77777777" w:rsidR="00D61A48" w:rsidRPr="00F214DD" w:rsidRDefault="00D61A48" w:rsidP="00D61A48">
      <w:pPr>
        <w:shd w:val="clear" w:color="auto" w:fill="FFFFFF"/>
        <w:jc w:val="both"/>
        <w:rPr>
          <w:rFonts w:ascii="Arial" w:hAnsi="Arial" w:cs="Arial"/>
          <w:i/>
          <w:iCs/>
          <w:color w:val="000000"/>
          <w:sz w:val="22"/>
          <w:szCs w:val="22"/>
          <w:lang w:val="es-419"/>
        </w:rPr>
      </w:pPr>
      <w:r w:rsidRPr="00F214DD">
        <w:rPr>
          <w:rFonts w:ascii="Arial" w:hAnsi="Arial" w:cs="Arial"/>
          <w:i/>
          <w:iCs/>
          <w:color w:val="000000"/>
          <w:sz w:val="22"/>
          <w:szCs w:val="22"/>
          <w:lang w:val="es-419"/>
        </w:rPr>
        <w:t>Por lo que no podremos trabajar con personas periodistas nicaragüenses que no posean visado de los Estados Unidos, Canadá o bien que posean residencia en la Unión Europea hasta que la resolución N° DJUR-01-10-2021-JM venza. Su vencimiento está para el 31 de abril, pero con la posibilidad de generarse una nueva resolución que extienda la inhabilitación de los consulados para la emisión de visados. </w:t>
      </w:r>
    </w:p>
    <w:p w14:paraId="6F797E0D" w14:textId="77777777" w:rsidR="00D61A48" w:rsidRPr="00F214DD" w:rsidRDefault="00D61A48" w:rsidP="00D61A48">
      <w:pPr>
        <w:shd w:val="clear" w:color="auto" w:fill="FFFFFF"/>
        <w:jc w:val="both"/>
        <w:rPr>
          <w:rFonts w:ascii="Arial" w:hAnsi="Arial" w:cs="Arial"/>
          <w:i/>
          <w:iCs/>
          <w:color w:val="000000"/>
          <w:sz w:val="22"/>
          <w:szCs w:val="22"/>
          <w:lang w:val="es-419"/>
        </w:rPr>
      </w:pPr>
    </w:p>
    <w:p w14:paraId="22E59E67" w14:textId="77777777" w:rsidR="00D61A48" w:rsidRPr="00F214DD" w:rsidRDefault="00D61A48" w:rsidP="00D61A48">
      <w:pPr>
        <w:shd w:val="clear" w:color="auto" w:fill="FFFFFF"/>
        <w:jc w:val="both"/>
        <w:rPr>
          <w:rFonts w:ascii="Arial" w:hAnsi="Arial" w:cs="Arial"/>
          <w:i/>
          <w:iCs/>
          <w:color w:val="000000"/>
          <w:sz w:val="22"/>
          <w:szCs w:val="22"/>
          <w:lang w:val="es-419"/>
        </w:rPr>
      </w:pPr>
      <w:r w:rsidRPr="00F214DD">
        <w:rPr>
          <w:rFonts w:ascii="Arial" w:hAnsi="Arial" w:cs="Arial"/>
          <w:i/>
          <w:iCs/>
          <w:color w:val="000000"/>
          <w:sz w:val="22"/>
          <w:szCs w:val="22"/>
          <w:lang w:val="es-419"/>
        </w:rPr>
        <w:t xml:space="preserve">Por contingencia, los grupos sin visado están para mediados de junio, bajo la idea de que podría expandirse la resolución hasta el 31 mayo y en 15 días yo podría coordinar todo. </w:t>
      </w:r>
    </w:p>
    <w:p w14:paraId="5DFA9BA0" w14:textId="77777777" w:rsidR="00D61A48" w:rsidRPr="00F214DD" w:rsidRDefault="00D61A48" w:rsidP="00D61A48">
      <w:pPr>
        <w:pStyle w:val="Prrafodelista"/>
        <w:numPr>
          <w:ilvl w:val="0"/>
          <w:numId w:val="10"/>
        </w:numPr>
        <w:spacing w:after="0" w:line="240" w:lineRule="auto"/>
        <w:jc w:val="both"/>
        <w:rPr>
          <w:rFonts w:ascii="Arial" w:hAnsi="Arial" w:cs="Arial"/>
          <w:b/>
          <w:bCs/>
          <w:i/>
          <w:iCs/>
          <w:color w:val="000000" w:themeColor="text1"/>
        </w:rPr>
      </w:pPr>
      <w:r w:rsidRPr="00F214DD">
        <w:rPr>
          <w:rFonts w:ascii="Arial" w:hAnsi="Arial" w:cs="Arial"/>
          <w:b/>
          <w:bCs/>
          <w:i/>
          <w:iCs/>
          <w:color w:val="000000" w:themeColor="text1"/>
        </w:rPr>
        <w:t>Sobre el índice Latinoamericano de Transparencia Legislativa</w:t>
      </w:r>
    </w:p>
    <w:p w14:paraId="72312A87" w14:textId="77777777" w:rsidR="00D61A48" w:rsidRPr="00F214DD" w:rsidRDefault="00D61A48" w:rsidP="00D61A48">
      <w:pPr>
        <w:jc w:val="both"/>
        <w:rPr>
          <w:rFonts w:ascii="Arial" w:hAnsi="Arial" w:cs="Arial"/>
          <w:i/>
          <w:iCs/>
          <w:color w:val="000000" w:themeColor="text1"/>
          <w:sz w:val="22"/>
          <w:szCs w:val="22"/>
        </w:rPr>
      </w:pPr>
      <w:r w:rsidRPr="00F214DD">
        <w:rPr>
          <w:rFonts w:ascii="Arial" w:hAnsi="Arial" w:cs="Arial"/>
          <w:i/>
          <w:iCs/>
          <w:color w:val="000000" w:themeColor="text1"/>
          <w:sz w:val="22"/>
          <w:szCs w:val="22"/>
        </w:rPr>
        <w:t>Para inicios de marzo se cumplió con las responsabilidades asumidas por IPLEX y ACCESA para el índice Latinoamericano de Transparencia Legislativa. En este sentido, se envió lo relacionado a la dimensión “Participación Ciudadana” que se encontraba pendiente. Asimismo, se concluyó con la construcción de la matriz de índices de evidencias. El equipo de la Red Latinoamericana de Transparencia Legislativa notificó a mediados de marzo que en el caso costarricense el levantamiento de la información se encontraba al 100% al igual que lo correspondiente a la información relacionada a la evidencia bibliográfica.</w:t>
      </w:r>
    </w:p>
    <w:p w14:paraId="63398257" w14:textId="77777777" w:rsidR="00D61A48" w:rsidRPr="00F214DD" w:rsidRDefault="00D61A48" w:rsidP="00D61A48">
      <w:pPr>
        <w:pStyle w:val="Prrafodelista"/>
        <w:numPr>
          <w:ilvl w:val="0"/>
          <w:numId w:val="10"/>
        </w:numPr>
        <w:spacing w:after="0" w:line="240" w:lineRule="auto"/>
        <w:jc w:val="both"/>
        <w:rPr>
          <w:rFonts w:ascii="Arial" w:hAnsi="Arial" w:cs="Arial"/>
          <w:b/>
          <w:bCs/>
          <w:i/>
          <w:iCs/>
          <w:color w:val="000000" w:themeColor="text1"/>
        </w:rPr>
      </w:pPr>
      <w:r w:rsidRPr="00F214DD">
        <w:rPr>
          <w:rFonts w:ascii="Arial" w:hAnsi="Arial" w:cs="Arial"/>
          <w:b/>
          <w:bCs/>
          <w:i/>
          <w:iCs/>
          <w:color w:val="000000"/>
          <w:shd w:val="clear" w:color="auto" w:fill="FFFFFF"/>
        </w:rPr>
        <w:t>Proyecto sobre el artículo 10 de la Convención de las Naciones Unidas Contra la Corrupción (CNUCC)</w:t>
      </w:r>
    </w:p>
    <w:p w14:paraId="304A22D7" w14:textId="77777777" w:rsidR="00D61A48" w:rsidRPr="00F214DD" w:rsidRDefault="00D61A48" w:rsidP="00D61A48">
      <w:pPr>
        <w:jc w:val="both"/>
        <w:rPr>
          <w:rFonts w:ascii="Arial" w:hAnsi="Arial" w:cs="Arial"/>
          <w:i/>
          <w:iCs/>
          <w:color w:val="000000"/>
          <w:sz w:val="22"/>
          <w:szCs w:val="22"/>
          <w:shd w:val="clear" w:color="auto" w:fill="FFFFFF"/>
        </w:rPr>
      </w:pPr>
      <w:r w:rsidRPr="00F214DD">
        <w:rPr>
          <w:rFonts w:ascii="Arial" w:hAnsi="Arial" w:cs="Arial"/>
          <w:i/>
          <w:iCs/>
          <w:color w:val="000000" w:themeColor="text1"/>
          <w:sz w:val="22"/>
          <w:szCs w:val="22"/>
        </w:rPr>
        <w:t xml:space="preserve">El pasado 10 de marzo, junto con el señor Raúl Silesky se envió la información solicitada por la Red Latinoamericana de Transparencia Legislativa sobre el panorama del acceso a la información publica en Costa Rica. La información se suministro mediante dos formularios en línea que desarrollo la RLTL. En este sentido, el 12 de marzo participé de la primera mesa de trabajo de la RLTL para diseñar un </w:t>
      </w:r>
      <w:r w:rsidRPr="00F214DD">
        <w:rPr>
          <w:rFonts w:ascii="Arial" w:hAnsi="Arial" w:cs="Arial"/>
          <w:i/>
          <w:iCs/>
          <w:color w:val="000000"/>
          <w:sz w:val="22"/>
          <w:szCs w:val="22"/>
          <w:shd w:val="clear" w:color="auto" w:fill="FFFFFF"/>
        </w:rPr>
        <w:t>Proyecto de incidencia regional para asegurar el cumplimiento del artículo 10 de la Convención de las Naciones Unidas Contra la Corrupción (CNUCC). La mesa de trabajo pretendía desarrollar un intercambio de información entre diferentes organizaciones de la sociedad civil para identificar áreas comunes de mejora y así determinar el enfoque del proyecto de incidencia que se pretende desarrollar.</w:t>
      </w:r>
    </w:p>
    <w:p w14:paraId="272766C7" w14:textId="77777777" w:rsidR="00D61A48" w:rsidRDefault="00D61A48" w:rsidP="00D61A48">
      <w:pPr>
        <w:pStyle w:val="Prrafodelista"/>
        <w:numPr>
          <w:ilvl w:val="0"/>
          <w:numId w:val="10"/>
        </w:numPr>
        <w:spacing w:after="0" w:line="240" w:lineRule="auto"/>
        <w:jc w:val="both"/>
        <w:rPr>
          <w:rFonts w:ascii="Arial" w:hAnsi="Arial" w:cs="Arial"/>
          <w:b/>
          <w:bCs/>
          <w:i/>
          <w:iCs/>
          <w:color w:val="000000" w:themeColor="text1"/>
        </w:rPr>
      </w:pPr>
      <w:r w:rsidRPr="00F214DD">
        <w:rPr>
          <w:rFonts w:ascii="Arial" w:hAnsi="Arial" w:cs="Arial"/>
          <w:b/>
          <w:bCs/>
          <w:i/>
          <w:iCs/>
          <w:color w:val="000000" w:themeColor="text1"/>
        </w:rPr>
        <w:t>Las labores de tesorería correspondiente en términos de ingreso de los gastos correspondientes y solicitud de restablecimiento de caja chica.”</w:t>
      </w:r>
    </w:p>
    <w:p w14:paraId="367985DD" w14:textId="28334F43" w:rsidR="00F214DD" w:rsidRPr="00D61A48" w:rsidRDefault="00F214DD" w:rsidP="00F01612">
      <w:pPr>
        <w:shd w:val="clear" w:color="auto" w:fill="FFFFFF"/>
        <w:jc w:val="both"/>
        <w:rPr>
          <w:rFonts w:ascii="Arial" w:hAnsi="Arial" w:cs="Arial"/>
          <w:color w:val="222222"/>
          <w:shd w:val="clear" w:color="auto" w:fill="FFFFFF"/>
        </w:rPr>
      </w:pPr>
    </w:p>
    <w:p w14:paraId="46BBB391" w14:textId="77777777" w:rsidR="001A2AB9" w:rsidRPr="00D61A48" w:rsidRDefault="001A2AB9" w:rsidP="001A2AB9">
      <w:pPr>
        <w:pStyle w:val="Prrafodelista"/>
        <w:numPr>
          <w:ilvl w:val="0"/>
          <w:numId w:val="14"/>
        </w:numPr>
        <w:shd w:val="clear" w:color="auto" w:fill="FFFFFF"/>
        <w:jc w:val="both"/>
        <w:rPr>
          <w:rFonts w:ascii="Arial" w:hAnsi="Arial" w:cs="Arial"/>
          <w:color w:val="1D2228"/>
          <w:sz w:val="24"/>
          <w:szCs w:val="24"/>
        </w:rPr>
      </w:pPr>
      <w:r w:rsidRPr="00D61A48">
        <w:rPr>
          <w:rFonts w:ascii="Arial" w:hAnsi="Arial" w:cs="Arial"/>
          <w:color w:val="222222"/>
          <w:sz w:val="24"/>
          <w:szCs w:val="24"/>
          <w:shd w:val="clear" w:color="auto" w:fill="FFFFFF"/>
        </w:rPr>
        <w:t>El Presidente informa:</w:t>
      </w:r>
    </w:p>
    <w:p w14:paraId="57D6C15C" w14:textId="4B10FD8F" w:rsidR="00F01612" w:rsidRPr="00D61A48" w:rsidRDefault="00F01612" w:rsidP="00F01612">
      <w:pPr>
        <w:pStyle w:val="Prrafodelista"/>
        <w:numPr>
          <w:ilvl w:val="0"/>
          <w:numId w:val="19"/>
        </w:numPr>
        <w:shd w:val="clear" w:color="auto" w:fill="FFFFFF"/>
        <w:jc w:val="both"/>
        <w:rPr>
          <w:rFonts w:ascii="Arial" w:hAnsi="Arial" w:cs="Arial"/>
          <w:color w:val="1D2228"/>
          <w:sz w:val="24"/>
          <w:szCs w:val="24"/>
        </w:rPr>
      </w:pPr>
      <w:r w:rsidRPr="00D61A48">
        <w:rPr>
          <w:rFonts w:ascii="Arial" w:hAnsi="Arial" w:cs="Arial"/>
          <w:color w:val="222222"/>
          <w:sz w:val="24"/>
          <w:szCs w:val="24"/>
          <w:shd w:val="clear" w:color="auto" w:fill="FFFFFF"/>
        </w:rPr>
        <w:t>Se conocer y aprueba propuesta de vacaciones para e</w:t>
      </w:r>
      <w:r w:rsidR="00CE1A82" w:rsidRPr="00D61A48">
        <w:rPr>
          <w:rFonts w:ascii="Arial" w:hAnsi="Arial" w:cs="Arial"/>
          <w:color w:val="222222"/>
          <w:sz w:val="24"/>
          <w:szCs w:val="24"/>
          <w:shd w:val="clear" w:color="auto" w:fill="FFFFFF"/>
        </w:rPr>
        <w:t>l auxiliar</w:t>
      </w:r>
      <w:r w:rsidR="00D61A48" w:rsidRPr="00D61A48">
        <w:rPr>
          <w:rFonts w:ascii="Arial" w:hAnsi="Arial" w:cs="Arial"/>
          <w:color w:val="222222"/>
          <w:sz w:val="24"/>
          <w:szCs w:val="24"/>
          <w:shd w:val="clear" w:color="auto" w:fill="FFFFFF"/>
        </w:rPr>
        <w:t>.</w:t>
      </w:r>
    </w:p>
    <w:p w14:paraId="0AEFA74C" w14:textId="77777777" w:rsidR="00552EEB" w:rsidRPr="00D61A48" w:rsidRDefault="00552EEB" w:rsidP="00552EEB">
      <w:pPr>
        <w:pStyle w:val="Prrafodelista"/>
        <w:shd w:val="clear" w:color="auto" w:fill="FFFFFF"/>
        <w:ind w:left="1080"/>
        <w:jc w:val="both"/>
        <w:rPr>
          <w:rFonts w:ascii="Arial" w:hAnsi="Arial" w:cs="Arial"/>
          <w:color w:val="1D2228"/>
          <w:sz w:val="24"/>
          <w:szCs w:val="24"/>
        </w:rPr>
      </w:pPr>
    </w:p>
    <w:p w14:paraId="792F4EE6" w14:textId="60505B0D" w:rsidR="001A2AB9" w:rsidRPr="00D61A48" w:rsidRDefault="002E7161" w:rsidP="00F01612">
      <w:pPr>
        <w:pStyle w:val="Prrafodelista"/>
        <w:numPr>
          <w:ilvl w:val="0"/>
          <w:numId w:val="19"/>
        </w:numPr>
        <w:shd w:val="clear" w:color="auto" w:fill="FFFFFF"/>
        <w:jc w:val="both"/>
        <w:rPr>
          <w:rFonts w:ascii="Arial" w:hAnsi="Arial" w:cs="Arial"/>
          <w:color w:val="1D2228"/>
          <w:sz w:val="24"/>
          <w:szCs w:val="24"/>
        </w:rPr>
      </w:pPr>
      <w:r>
        <w:rPr>
          <w:rFonts w:ascii="Arial" w:hAnsi="Arial" w:cs="Arial"/>
          <w:color w:val="1D2228"/>
          <w:sz w:val="24"/>
          <w:szCs w:val="24"/>
        </w:rPr>
        <w:t>El 1°</w:t>
      </w:r>
      <w:r w:rsidR="001A2AB9" w:rsidRPr="00D61A48">
        <w:rPr>
          <w:rFonts w:ascii="Arial" w:hAnsi="Arial" w:cs="Arial"/>
          <w:color w:val="1D2228"/>
          <w:sz w:val="24"/>
          <w:szCs w:val="24"/>
        </w:rPr>
        <w:t xml:space="preserve"> de marzo se participó en la reunión mensual de la "Coalición por la Libertad de Asociación", se </w:t>
      </w:r>
      <w:r w:rsidR="00F01612" w:rsidRPr="00D61A48">
        <w:rPr>
          <w:rFonts w:ascii="Arial" w:hAnsi="Arial" w:cs="Arial"/>
          <w:color w:val="1D2228"/>
          <w:sz w:val="24"/>
          <w:szCs w:val="24"/>
        </w:rPr>
        <w:t>está</w:t>
      </w:r>
      <w:r w:rsidR="001A2AB9" w:rsidRPr="00D61A48">
        <w:rPr>
          <w:rFonts w:ascii="Arial" w:hAnsi="Arial" w:cs="Arial"/>
          <w:color w:val="1D2228"/>
          <w:sz w:val="24"/>
          <w:szCs w:val="24"/>
        </w:rPr>
        <w:t xml:space="preserve"> </w:t>
      </w:r>
      <w:r w:rsidR="00F01612" w:rsidRPr="00D61A48">
        <w:rPr>
          <w:rFonts w:ascii="Arial" w:hAnsi="Arial" w:cs="Arial"/>
          <w:color w:val="1D2228"/>
          <w:sz w:val="24"/>
          <w:szCs w:val="24"/>
        </w:rPr>
        <w:t>gestionando</w:t>
      </w:r>
      <w:r w:rsidR="001A2AB9" w:rsidRPr="00D61A48">
        <w:rPr>
          <w:rFonts w:ascii="Arial" w:hAnsi="Arial" w:cs="Arial"/>
          <w:color w:val="1D2228"/>
          <w:sz w:val="24"/>
          <w:szCs w:val="24"/>
        </w:rPr>
        <w:t xml:space="preserve"> la inscripción de organizaciones ante la OEA y definición de la </w:t>
      </w:r>
      <w:r w:rsidR="00F01612" w:rsidRPr="00D61A48">
        <w:rPr>
          <w:rFonts w:ascii="Arial" w:hAnsi="Arial" w:cs="Arial"/>
          <w:color w:val="1D2228"/>
          <w:sz w:val="24"/>
          <w:szCs w:val="24"/>
        </w:rPr>
        <w:t>mecánica</w:t>
      </w:r>
      <w:r w:rsidR="001A2AB9" w:rsidRPr="00D61A48">
        <w:rPr>
          <w:rFonts w:ascii="Arial" w:hAnsi="Arial" w:cs="Arial"/>
          <w:color w:val="1D2228"/>
          <w:sz w:val="24"/>
          <w:szCs w:val="24"/>
        </w:rPr>
        <w:t xml:space="preserve"> de trabajo colaborativo.</w:t>
      </w:r>
    </w:p>
    <w:p w14:paraId="6B84C1F8" w14:textId="77777777" w:rsidR="00552EEB" w:rsidRPr="00D61A48" w:rsidRDefault="00552EEB" w:rsidP="00552EEB">
      <w:pPr>
        <w:pStyle w:val="Prrafodelista"/>
        <w:rPr>
          <w:rFonts w:ascii="Arial" w:hAnsi="Arial" w:cs="Arial"/>
          <w:color w:val="1D2228"/>
          <w:sz w:val="24"/>
          <w:szCs w:val="24"/>
        </w:rPr>
      </w:pPr>
    </w:p>
    <w:p w14:paraId="21DB0CBF" w14:textId="77777777" w:rsidR="00552EEB" w:rsidRPr="00D61A48" w:rsidRDefault="00552EEB" w:rsidP="00552EEB">
      <w:pPr>
        <w:pStyle w:val="Prrafodelista"/>
        <w:shd w:val="clear" w:color="auto" w:fill="FFFFFF"/>
        <w:ind w:left="1080"/>
        <w:jc w:val="both"/>
        <w:rPr>
          <w:rFonts w:ascii="Arial" w:hAnsi="Arial" w:cs="Arial"/>
          <w:color w:val="1D2228"/>
          <w:sz w:val="24"/>
          <w:szCs w:val="24"/>
        </w:rPr>
      </w:pPr>
    </w:p>
    <w:p w14:paraId="390D6D6D" w14:textId="77777777" w:rsidR="00D61A48" w:rsidRPr="00D61A48" w:rsidRDefault="001A2AB9" w:rsidP="006F2C3E">
      <w:pPr>
        <w:pStyle w:val="Prrafodelista"/>
        <w:numPr>
          <w:ilvl w:val="0"/>
          <w:numId w:val="19"/>
        </w:numPr>
        <w:shd w:val="clear" w:color="auto" w:fill="FFFFFF"/>
        <w:jc w:val="both"/>
        <w:rPr>
          <w:rFonts w:ascii="Arial" w:hAnsi="Arial" w:cs="Arial"/>
          <w:color w:val="1D2228"/>
          <w:sz w:val="24"/>
          <w:szCs w:val="24"/>
        </w:rPr>
      </w:pPr>
      <w:r w:rsidRPr="00D61A48">
        <w:rPr>
          <w:rFonts w:ascii="Arial" w:hAnsi="Arial" w:cs="Arial"/>
          <w:color w:val="1D2228"/>
          <w:sz w:val="24"/>
          <w:szCs w:val="24"/>
        </w:rPr>
        <w:t xml:space="preserve">Se remitió nota a Open Society sobre el programa de apoyo a periodistas </w:t>
      </w:r>
      <w:r w:rsidR="00F01612" w:rsidRPr="00D61A48">
        <w:rPr>
          <w:rFonts w:ascii="Arial" w:hAnsi="Arial" w:cs="Arial"/>
          <w:color w:val="1D2228"/>
          <w:sz w:val="24"/>
          <w:szCs w:val="24"/>
        </w:rPr>
        <w:t>Centroamericanos</w:t>
      </w:r>
      <w:r w:rsidRPr="00D61A48">
        <w:rPr>
          <w:rFonts w:ascii="Arial" w:hAnsi="Arial" w:cs="Arial"/>
          <w:color w:val="1D2228"/>
          <w:sz w:val="24"/>
          <w:szCs w:val="24"/>
        </w:rPr>
        <w:t xml:space="preserve"> y del Caribe Hispanohablante, consultándoles sobre temas financieros y la ampliación del programa en caso de no agotar los recursos. La respuesta fue que se pueden hacer modificaciones de hasta </w:t>
      </w:r>
      <w:r w:rsidR="00F01612" w:rsidRPr="00D61A48">
        <w:rPr>
          <w:rFonts w:ascii="Arial" w:hAnsi="Arial" w:cs="Arial"/>
          <w:color w:val="1D2228"/>
          <w:sz w:val="24"/>
          <w:szCs w:val="24"/>
        </w:rPr>
        <w:t>un</w:t>
      </w:r>
      <w:r w:rsidRPr="00D61A48">
        <w:rPr>
          <w:rFonts w:ascii="Arial" w:hAnsi="Arial" w:cs="Arial"/>
          <w:color w:val="1D2228"/>
          <w:sz w:val="24"/>
          <w:szCs w:val="24"/>
        </w:rPr>
        <w:t xml:space="preserve"> 10 por ciento entre partidas, si se requiere un ajuste mayor se les debe remitir para su aprobación, el pago del impuesto sobre la renta se incorpora en un </w:t>
      </w:r>
      <w:r w:rsidR="00F01612" w:rsidRPr="00D61A48">
        <w:rPr>
          <w:rFonts w:ascii="Arial" w:hAnsi="Arial" w:cs="Arial"/>
          <w:color w:val="1D2228"/>
          <w:sz w:val="24"/>
          <w:szCs w:val="24"/>
        </w:rPr>
        <w:t>rubro</w:t>
      </w:r>
      <w:r w:rsidRPr="00D61A48">
        <w:rPr>
          <w:rFonts w:ascii="Arial" w:hAnsi="Arial" w:cs="Arial"/>
          <w:color w:val="1D2228"/>
          <w:sz w:val="24"/>
          <w:szCs w:val="24"/>
        </w:rPr>
        <w:t xml:space="preserve"> exclusivo y en agosto se analizaría de acuerdo al gasto para extender el programa de ser necesario. </w:t>
      </w:r>
    </w:p>
    <w:p w14:paraId="45DA8A84" w14:textId="2D9E9D83" w:rsidR="00ED3EA0" w:rsidRPr="00D61A48" w:rsidRDefault="00D61A48" w:rsidP="00D61A48">
      <w:pPr>
        <w:pStyle w:val="Prrafodelista"/>
        <w:shd w:val="clear" w:color="auto" w:fill="FFFFFF"/>
        <w:ind w:left="1080"/>
        <w:jc w:val="both"/>
        <w:rPr>
          <w:rFonts w:ascii="Arial" w:hAnsi="Arial" w:cs="Arial"/>
          <w:color w:val="1D2228"/>
          <w:sz w:val="24"/>
          <w:szCs w:val="24"/>
        </w:rPr>
      </w:pPr>
      <w:r w:rsidRPr="00D61A48">
        <w:rPr>
          <w:rFonts w:ascii="Arial" w:hAnsi="Arial" w:cs="Arial"/>
          <w:color w:val="1D2228"/>
          <w:sz w:val="24"/>
          <w:szCs w:val="24"/>
        </w:rPr>
        <w:t>Se acuerda enviar a Open Society un nuevo presupuesto para su aprobación después de que ingresen los nuevos recursos y en agosto definir la extención del programa.</w:t>
      </w:r>
    </w:p>
    <w:p w14:paraId="19F42274" w14:textId="77777777" w:rsidR="00ED3EA0" w:rsidRPr="00D61A48" w:rsidRDefault="00ED3EA0" w:rsidP="00ED3EA0">
      <w:pPr>
        <w:pStyle w:val="Prrafodelista"/>
        <w:shd w:val="clear" w:color="auto" w:fill="FFFFFF"/>
        <w:ind w:left="1080"/>
        <w:jc w:val="both"/>
        <w:rPr>
          <w:rFonts w:ascii="Arial" w:hAnsi="Arial" w:cs="Arial"/>
          <w:color w:val="1D2228"/>
          <w:sz w:val="24"/>
          <w:szCs w:val="24"/>
        </w:rPr>
      </w:pPr>
    </w:p>
    <w:p w14:paraId="091C912E" w14:textId="4FBF4023" w:rsidR="00D61A48" w:rsidRPr="00D61A48" w:rsidRDefault="00CE1A82" w:rsidP="00D61A48">
      <w:pPr>
        <w:pStyle w:val="Prrafodelista"/>
        <w:numPr>
          <w:ilvl w:val="0"/>
          <w:numId w:val="25"/>
        </w:numPr>
        <w:shd w:val="clear" w:color="auto" w:fill="FFFFFF"/>
        <w:jc w:val="both"/>
        <w:rPr>
          <w:rFonts w:ascii="Arial" w:hAnsi="Arial" w:cs="Arial"/>
          <w:color w:val="1D2228"/>
          <w:sz w:val="24"/>
          <w:szCs w:val="24"/>
        </w:rPr>
      </w:pPr>
      <w:r w:rsidRPr="00D61A48">
        <w:rPr>
          <w:rFonts w:ascii="Arial" w:hAnsi="Arial" w:cs="Arial"/>
          <w:color w:val="222222"/>
          <w:sz w:val="24"/>
          <w:szCs w:val="24"/>
          <w:shd w:val="clear" w:color="auto" w:fill="FFFFFF"/>
        </w:rPr>
        <w:t>La Tesorera present</w:t>
      </w:r>
      <w:r w:rsidR="00960A3D" w:rsidRPr="00D61A48">
        <w:rPr>
          <w:rFonts w:ascii="Arial" w:hAnsi="Arial" w:cs="Arial"/>
          <w:color w:val="222222"/>
          <w:sz w:val="24"/>
          <w:szCs w:val="24"/>
          <w:shd w:val="clear" w:color="auto" w:fill="FFFFFF"/>
        </w:rPr>
        <w:t>a los Estados Financieros 2020</w:t>
      </w:r>
      <w:r w:rsidR="00D61A48" w:rsidRPr="00D61A48">
        <w:rPr>
          <w:rFonts w:ascii="Arial" w:hAnsi="Arial" w:cs="Arial"/>
          <w:color w:val="222222"/>
          <w:sz w:val="24"/>
          <w:szCs w:val="24"/>
          <w:shd w:val="clear" w:color="auto" w:fill="FFFFFF"/>
        </w:rPr>
        <w:t>. S</w:t>
      </w:r>
      <w:r w:rsidR="00960A3D" w:rsidRPr="00D61A48">
        <w:rPr>
          <w:rFonts w:ascii="Arial" w:hAnsi="Arial" w:cs="Arial"/>
          <w:color w:val="222222"/>
          <w:sz w:val="24"/>
          <w:szCs w:val="24"/>
          <w:shd w:val="clear" w:color="auto" w:fill="FFFFFF"/>
        </w:rPr>
        <w:t>e acuerda certificarlos</w:t>
      </w:r>
      <w:r w:rsidR="00D61A48" w:rsidRPr="00D61A48">
        <w:rPr>
          <w:rFonts w:ascii="Arial" w:hAnsi="Arial" w:cs="Arial"/>
          <w:color w:val="222222"/>
          <w:sz w:val="24"/>
          <w:szCs w:val="24"/>
          <w:shd w:val="clear" w:color="auto" w:fill="FFFFFF"/>
        </w:rPr>
        <w:t>.</w:t>
      </w:r>
    </w:p>
    <w:p w14:paraId="770C4DB0" w14:textId="77777777" w:rsidR="00D61A48" w:rsidRPr="00D61A48" w:rsidRDefault="00D61A48" w:rsidP="00D61A48">
      <w:pPr>
        <w:pStyle w:val="Prrafodelista"/>
        <w:shd w:val="clear" w:color="auto" w:fill="FFFFFF"/>
        <w:jc w:val="both"/>
        <w:rPr>
          <w:rFonts w:ascii="Arial" w:hAnsi="Arial" w:cs="Arial"/>
          <w:color w:val="1D2228"/>
          <w:sz w:val="24"/>
          <w:szCs w:val="24"/>
        </w:rPr>
      </w:pPr>
    </w:p>
    <w:p w14:paraId="1C5606B3" w14:textId="5308867F" w:rsidR="001A2AB9" w:rsidRPr="00D61A48" w:rsidRDefault="00CE1A82" w:rsidP="00D61A48">
      <w:pPr>
        <w:pStyle w:val="Prrafodelista"/>
        <w:numPr>
          <w:ilvl w:val="0"/>
          <w:numId w:val="25"/>
        </w:numPr>
        <w:shd w:val="clear" w:color="auto" w:fill="FFFFFF"/>
        <w:jc w:val="both"/>
        <w:rPr>
          <w:rFonts w:ascii="Arial" w:hAnsi="Arial" w:cs="Arial"/>
          <w:color w:val="1D2228"/>
          <w:sz w:val="24"/>
          <w:szCs w:val="24"/>
        </w:rPr>
      </w:pPr>
      <w:r w:rsidRPr="00D61A48">
        <w:rPr>
          <w:rFonts w:ascii="Arial" w:hAnsi="Arial" w:cs="Arial"/>
          <w:color w:val="222222"/>
          <w:sz w:val="24"/>
          <w:szCs w:val="24"/>
          <w:shd w:val="clear" w:color="auto" w:fill="FFFFFF"/>
        </w:rPr>
        <w:t xml:space="preserve">Debido a problemas bancarios se cancelarán 700 dólares de afiliación, </w:t>
      </w:r>
      <w:r w:rsidR="002D2C02" w:rsidRPr="00D61A48">
        <w:rPr>
          <w:rFonts w:ascii="Arial" w:hAnsi="Arial" w:cs="Arial"/>
          <w:color w:val="222222"/>
          <w:sz w:val="24"/>
          <w:szCs w:val="24"/>
          <w:shd w:val="clear" w:color="auto" w:fill="FFFFFF"/>
        </w:rPr>
        <w:t>rebajando los 300 d</w:t>
      </w:r>
      <w:r w:rsidRPr="00D61A48">
        <w:rPr>
          <w:rFonts w:ascii="Arial" w:hAnsi="Arial" w:cs="Arial"/>
          <w:color w:val="222222"/>
          <w:sz w:val="24"/>
          <w:szCs w:val="24"/>
          <w:shd w:val="clear" w:color="auto" w:fill="FFFFFF"/>
        </w:rPr>
        <w:t>ó</w:t>
      </w:r>
      <w:r w:rsidR="002D2C02" w:rsidRPr="00D61A48">
        <w:rPr>
          <w:rFonts w:ascii="Arial" w:hAnsi="Arial" w:cs="Arial"/>
          <w:color w:val="222222"/>
          <w:sz w:val="24"/>
          <w:szCs w:val="24"/>
          <w:shd w:val="clear" w:color="auto" w:fill="FFFFFF"/>
        </w:rPr>
        <w:t>l</w:t>
      </w:r>
      <w:r w:rsidRPr="00D61A48">
        <w:rPr>
          <w:rFonts w:ascii="Arial" w:hAnsi="Arial" w:cs="Arial"/>
          <w:color w:val="222222"/>
          <w:sz w:val="24"/>
          <w:szCs w:val="24"/>
          <w:shd w:val="clear" w:color="auto" w:fill="FFFFFF"/>
        </w:rPr>
        <w:t>ares</w:t>
      </w:r>
      <w:r w:rsidR="002D2C02" w:rsidRPr="00D61A48">
        <w:rPr>
          <w:rFonts w:ascii="Arial" w:hAnsi="Arial" w:cs="Arial"/>
          <w:color w:val="222222"/>
          <w:sz w:val="24"/>
          <w:szCs w:val="24"/>
          <w:shd w:val="clear" w:color="auto" w:fill="FFFFFF"/>
        </w:rPr>
        <w:t xml:space="preserve"> de la colaboración </w:t>
      </w:r>
      <w:r w:rsidRPr="00D61A48">
        <w:rPr>
          <w:rFonts w:ascii="Arial" w:hAnsi="Arial" w:cs="Arial"/>
          <w:color w:val="222222"/>
          <w:sz w:val="24"/>
          <w:szCs w:val="24"/>
          <w:shd w:val="clear" w:color="auto" w:fill="FFFFFF"/>
        </w:rPr>
        <w:t xml:space="preserve">para el </w:t>
      </w:r>
      <w:r w:rsidR="00DA18D9" w:rsidRPr="00D61A48">
        <w:rPr>
          <w:rFonts w:ascii="Arial" w:hAnsi="Arial" w:cs="Arial"/>
          <w:color w:val="1D2228"/>
          <w:sz w:val="24"/>
          <w:szCs w:val="24"/>
          <w:shd w:val="clear" w:color="auto" w:fill="FFFFFF"/>
        </w:rPr>
        <w:t xml:space="preserve">documento </w:t>
      </w:r>
      <w:r w:rsidR="00DA18D9" w:rsidRPr="00D61A48">
        <w:rPr>
          <w:rFonts w:ascii="Arial" w:hAnsi="Arial" w:cs="Arial"/>
          <w:color w:val="000000"/>
          <w:sz w:val="24"/>
          <w:szCs w:val="24"/>
        </w:rPr>
        <w:t>Acceso a la información en el Siglo XXI: </w:t>
      </w:r>
      <w:r w:rsidR="00A960A6" w:rsidRPr="00D61A48">
        <w:rPr>
          <w:rFonts w:ascii="Arial" w:hAnsi="Arial" w:cs="Arial"/>
          <w:color w:val="000000"/>
          <w:sz w:val="24"/>
          <w:szCs w:val="24"/>
        </w:rPr>
        <w:t xml:space="preserve"> </w:t>
      </w:r>
      <w:r w:rsidR="00DA18D9" w:rsidRPr="00D61A48">
        <w:rPr>
          <w:rFonts w:ascii="Arial" w:hAnsi="Arial" w:cs="Arial"/>
          <w:color w:val="000000"/>
          <w:sz w:val="24"/>
          <w:szCs w:val="24"/>
        </w:rPr>
        <w:t>estado de situación y lecciones aprendidas de Latinoamérica</w:t>
      </w:r>
      <w:r w:rsidRPr="00D61A48">
        <w:rPr>
          <w:rFonts w:ascii="Arial" w:hAnsi="Arial" w:cs="Arial"/>
          <w:sz w:val="24"/>
          <w:szCs w:val="24"/>
        </w:rPr>
        <w:t xml:space="preserve"> </w:t>
      </w:r>
      <w:r w:rsidR="00DA18D9" w:rsidRPr="00D61A48">
        <w:rPr>
          <w:rFonts w:ascii="Arial" w:hAnsi="Arial" w:cs="Arial"/>
          <w:color w:val="000000"/>
          <w:sz w:val="24"/>
          <w:szCs w:val="24"/>
        </w:rPr>
        <w:t>para la Alianza Regional por la Libre Expresión e Información</w:t>
      </w:r>
      <w:r w:rsidR="00A960A6" w:rsidRPr="00D61A48">
        <w:rPr>
          <w:rFonts w:ascii="Arial" w:hAnsi="Arial" w:cs="Arial"/>
          <w:sz w:val="24"/>
          <w:szCs w:val="24"/>
        </w:rPr>
        <w:t>.</w:t>
      </w:r>
    </w:p>
    <w:p w14:paraId="46906CFE" w14:textId="1BBC27F8" w:rsidR="00DA18D9" w:rsidRPr="00D61A48" w:rsidRDefault="00A960A6" w:rsidP="001A2AB9">
      <w:pPr>
        <w:pStyle w:val="Prrafodelista"/>
        <w:spacing w:after="0" w:line="240" w:lineRule="auto"/>
        <w:jc w:val="both"/>
        <w:rPr>
          <w:rFonts w:ascii="Arial" w:hAnsi="Arial" w:cs="Arial"/>
          <w:sz w:val="24"/>
          <w:szCs w:val="24"/>
        </w:rPr>
      </w:pPr>
      <w:r w:rsidRPr="00D61A48">
        <w:rPr>
          <w:rFonts w:ascii="Arial" w:hAnsi="Arial" w:cs="Arial"/>
          <w:sz w:val="24"/>
          <w:szCs w:val="24"/>
        </w:rPr>
        <w:t xml:space="preserve"> </w:t>
      </w:r>
    </w:p>
    <w:p w14:paraId="10E1F238" w14:textId="4715FAA0" w:rsidR="003C4DFD" w:rsidRPr="00D61A48" w:rsidRDefault="003C4DFD" w:rsidP="00F214DD">
      <w:pPr>
        <w:jc w:val="both"/>
        <w:rPr>
          <w:rFonts w:ascii="Arial" w:hAnsi="Arial" w:cs="Arial"/>
        </w:rPr>
      </w:pPr>
    </w:p>
    <w:p w14:paraId="041EEFEA" w14:textId="7A83C44C" w:rsidR="002472A6" w:rsidRPr="00D61A48" w:rsidRDefault="002472A6" w:rsidP="00F214DD">
      <w:pPr>
        <w:jc w:val="both"/>
        <w:rPr>
          <w:rFonts w:ascii="Arial" w:hAnsi="Arial" w:cs="Arial"/>
          <w:lang w:eastAsia="es-CR"/>
        </w:rPr>
      </w:pPr>
      <w:r w:rsidRPr="00D61A48">
        <w:rPr>
          <w:rFonts w:ascii="Arial" w:hAnsi="Arial" w:cs="Arial"/>
          <w:lang w:eastAsia="es-CR"/>
        </w:rPr>
        <w:t>Próxima sesión</w:t>
      </w:r>
      <w:r w:rsidR="00B17E66" w:rsidRPr="00D61A48">
        <w:rPr>
          <w:rFonts w:ascii="Arial" w:hAnsi="Arial" w:cs="Arial"/>
          <w:lang w:eastAsia="es-CR"/>
        </w:rPr>
        <w:t xml:space="preserve"> virtual de la </w:t>
      </w:r>
      <w:r w:rsidRPr="00D61A48">
        <w:rPr>
          <w:rFonts w:ascii="Arial" w:hAnsi="Arial" w:cs="Arial"/>
          <w:lang w:eastAsia="es-CR"/>
        </w:rPr>
        <w:t>Junta Directiva</w:t>
      </w:r>
      <w:r w:rsidR="00090FFE" w:rsidRPr="00D61A48">
        <w:rPr>
          <w:rFonts w:ascii="Arial" w:hAnsi="Arial" w:cs="Arial"/>
          <w:lang w:eastAsia="es-CR"/>
        </w:rPr>
        <w:t xml:space="preserve"> </w:t>
      </w:r>
      <w:r w:rsidR="00B17E66" w:rsidRPr="00D61A48">
        <w:rPr>
          <w:rFonts w:ascii="Arial" w:hAnsi="Arial" w:cs="Arial"/>
          <w:lang w:eastAsia="es-CR"/>
        </w:rPr>
        <w:t xml:space="preserve">será </w:t>
      </w:r>
      <w:r w:rsidR="00A960A6" w:rsidRPr="00D61A48">
        <w:rPr>
          <w:rFonts w:ascii="Arial" w:hAnsi="Arial" w:cs="Arial"/>
          <w:lang w:eastAsia="es-CR"/>
        </w:rPr>
        <w:t xml:space="preserve">el </w:t>
      </w:r>
      <w:r w:rsidR="00911E45" w:rsidRPr="00D61A48">
        <w:rPr>
          <w:rFonts w:ascii="Arial" w:hAnsi="Arial" w:cs="Arial"/>
          <w:lang w:eastAsia="es-CR"/>
        </w:rPr>
        <w:t xml:space="preserve">viernes </w:t>
      </w:r>
      <w:r w:rsidR="00CE1A82" w:rsidRPr="00D61A48">
        <w:rPr>
          <w:rFonts w:ascii="Arial" w:hAnsi="Arial" w:cs="Arial"/>
          <w:lang w:eastAsia="es-CR"/>
        </w:rPr>
        <w:t xml:space="preserve">23 </w:t>
      </w:r>
      <w:r w:rsidR="00B17E66" w:rsidRPr="00D61A48">
        <w:rPr>
          <w:rFonts w:ascii="Arial" w:hAnsi="Arial" w:cs="Arial"/>
          <w:lang w:eastAsia="es-CR"/>
        </w:rPr>
        <w:t xml:space="preserve">de </w:t>
      </w:r>
      <w:r w:rsidR="00CE1A82" w:rsidRPr="00D61A48">
        <w:rPr>
          <w:rFonts w:ascii="Arial" w:hAnsi="Arial" w:cs="Arial"/>
          <w:lang w:eastAsia="es-CR"/>
        </w:rPr>
        <w:t xml:space="preserve">abril </w:t>
      </w:r>
      <w:r w:rsidRPr="00D61A48">
        <w:rPr>
          <w:rFonts w:ascii="Arial" w:hAnsi="Arial" w:cs="Arial"/>
          <w:lang w:eastAsia="es-CR"/>
        </w:rPr>
        <w:t>202</w:t>
      </w:r>
      <w:r w:rsidR="004A039B" w:rsidRPr="00D61A48">
        <w:rPr>
          <w:rFonts w:ascii="Arial" w:hAnsi="Arial" w:cs="Arial"/>
          <w:lang w:eastAsia="es-CR"/>
        </w:rPr>
        <w:t>1</w:t>
      </w:r>
      <w:r w:rsidR="002E7161">
        <w:rPr>
          <w:rFonts w:ascii="Arial" w:hAnsi="Arial" w:cs="Arial"/>
          <w:lang w:eastAsia="es-CR"/>
        </w:rPr>
        <w:t xml:space="preserve"> a las </w:t>
      </w:r>
      <w:r w:rsidR="00361B90" w:rsidRPr="00D61A48">
        <w:rPr>
          <w:rFonts w:ascii="Arial" w:hAnsi="Arial" w:cs="Arial"/>
          <w:lang w:eastAsia="es-CR"/>
        </w:rPr>
        <w:t>6</w:t>
      </w:r>
      <w:r w:rsidRPr="00D61A48">
        <w:rPr>
          <w:rFonts w:ascii="Arial" w:hAnsi="Arial" w:cs="Arial"/>
          <w:lang w:eastAsia="es-CR"/>
        </w:rPr>
        <w:t>:</w:t>
      </w:r>
      <w:r w:rsidR="00361B90" w:rsidRPr="00D61A48">
        <w:rPr>
          <w:rFonts w:ascii="Arial" w:hAnsi="Arial" w:cs="Arial"/>
          <w:lang w:eastAsia="es-CR"/>
        </w:rPr>
        <w:t>00</w:t>
      </w:r>
      <w:r w:rsidRPr="00D61A48">
        <w:rPr>
          <w:rFonts w:ascii="Arial" w:hAnsi="Arial" w:cs="Arial"/>
          <w:lang w:eastAsia="es-CR"/>
        </w:rPr>
        <w:t xml:space="preserve"> p.m</w:t>
      </w:r>
      <w:r w:rsidR="006F0AA4" w:rsidRPr="00D61A48">
        <w:rPr>
          <w:rFonts w:ascii="Arial" w:hAnsi="Arial" w:cs="Arial"/>
          <w:lang w:eastAsia="es-CR"/>
        </w:rPr>
        <w:t>.</w:t>
      </w:r>
      <w:r w:rsidR="00361B90" w:rsidRPr="00D61A48">
        <w:rPr>
          <w:rFonts w:ascii="Arial" w:hAnsi="Arial" w:cs="Arial"/>
          <w:lang w:eastAsia="es-CR"/>
        </w:rPr>
        <w:t xml:space="preserve"> </w:t>
      </w:r>
    </w:p>
    <w:p w14:paraId="63CE4FA5" w14:textId="7CD25550" w:rsidR="008051B9" w:rsidRPr="00D61A48" w:rsidRDefault="008051B9" w:rsidP="00F214DD">
      <w:pPr>
        <w:jc w:val="both"/>
        <w:rPr>
          <w:rFonts w:ascii="Arial" w:hAnsi="Arial" w:cs="Arial"/>
          <w:b/>
          <w:bCs/>
          <w:color w:val="000000" w:themeColor="text1"/>
          <w:lang w:eastAsia="es-CR"/>
        </w:rPr>
      </w:pPr>
    </w:p>
    <w:p w14:paraId="2C1FDF3E" w14:textId="77777777" w:rsidR="008051B9" w:rsidRPr="00D61A48" w:rsidRDefault="008051B9" w:rsidP="00F214DD">
      <w:pPr>
        <w:jc w:val="both"/>
        <w:rPr>
          <w:rFonts w:ascii="Arial" w:hAnsi="Arial" w:cs="Arial"/>
          <w:b/>
          <w:bCs/>
          <w:color w:val="000000" w:themeColor="text1"/>
          <w:lang w:eastAsia="es-CR"/>
        </w:rPr>
      </w:pPr>
    </w:p>
    <w:p w14:paraId="07D4F600" w14:textId="0FEE1DEB" w:rsidR="006F0AA4" w:rsidRPr="00D61A48" w:rsidRDefault="006F0AA4" w:rsidP="00F214DD">
      <w:pPr>
        <w:jc w:val="both"/>
        <w:rPr>
          <w:rFonts w:ascii="Arial" w:hAnsi="Arial" w:cs="Arial"/>
          <w:lang w:eastAsia="es-CR"/>
        </w:rPr>
      </w:pPr>
    </w:p>
    <w:tbl>
      <w:tblPr>
        <w:tblW w:w="0" w:type="auto"/>
        <w:tblLook w:val="04A0" w:firstRow="1" w:lastRow="0" w:firstColumn="1" w:lastColumn="0" w:noHBand="0" w:noVBand="1"/>
      </w:tblPr>
      <w:tblGrid>
        <w:gridCol w:w="4209"/>
        <w:gridCol w:w="4175"/>
      </w:tblGrid>
      <w:tr w:rsidR="002472A6" w:rsidRPr="00D61A48" w14:paraId="687E712C" w14:textId="77777777" w:rsidTr="007129DE">
        <w:trPr>
          <w:trHeight w:val="1437"/>
        </w:trPr>
        <w:tc>
          <w:tcPr>
            <w:tcW w:w="4209" w:type="dxa"/>
            <w:shd w:val="clear" w:color="auto" w:fill="auto"/>
          </w:tcPr>
          <w:p w14:paraId="2B4321A9" w14:textId="56C0131E" w:rsidR="002472A6" w:rsidRPr="00D61A48" w:rsidRDefault="00090FFE" w:rsidP="00F214DD">
            <w:pPr>
              <w:jc w:val="both"/>
              <w:rPr>
                <w:rFonts w:ascii="Arial" w:hAnsi="Arial" w:cs="Arial"/>
                <w:lang w:eastAsia="es-CR"/>
              </w:rPr>
            </w:pPr>
            <w:r w:rsidRPr="00D61A48">
              <w:rPr>
                <w:rFonts w:ascii="Arial" w:hAnsi="Arial" w:cs="Arial"/>
                <w:lang w:eastAsia="es-CR"/>
              </w:rPr>
              <w:t>R</w:t>
            </w:r>
            <w:r w:rsidR="002472A6" w:rsidRPr="00D61A48">
              <w:rPr>
                <w:rFonts w:ascii="Arial" w:hAnsi="Arial" w:cs="Arial"/>
                <w:lang w:eastAsia="es-CR"/>
              </w:rPr>
              <w:t>aúl Silesky Jiménez</w:t>
            </w:r>
          </w:p>
          <w:p w14:paraId="45BC9708" w14:textId="7BB5C7BC" w:rsidR="00BE40AB" w:rsidRPr="002E7161" w:rsidRDefault="002E7161" w:rsidP="00F214DD">
            <w:pPr>
              <w:jc w:val="both"/>
              <w:rPr>
                <w:rFonts w:ascii="Arial" w:hAnsi="Arial" w:cs="Arial"/>
                <w:b/>
                <w:lang w:eastAsia="es-CR"/>
              </w:rPr>
            </w:pPr>
            <w:r>
              <w:rPr>
                <w:rFonts w:ascii="Arial" w:hAnsi="Arial" w:cs="Arial"/>
                <w:lang w:eastAsia="es-CR"/>
              </w:rPr>
              <w:t xml:space="preserve">       </w:t>
            </w:r>
            <w:r w:rsidR="002472A6" w:rsidRPr="002E7161">
              <w:rPr>
                <w:rFonts w:ascii="Arial" w:hAnsi="Arial" w:cs="Arial"/>
                <w:b/>
                <w:lang w:eastAsia="es-CR"/>
              </w:rPr>
              <w:t>Presidente</w:t>
            </w:r>
          </w:p>
        </w:tc>
        <w:tc>
          <w:tcPr>
            <w:tcW w:w="4175" w:type="dxa"/>
            <w:shd w:val="clear" w:color="auto" w:fill="auto"/>
          </w:tcPr>
          <w:p w14:paraId="4833C0FA" w14:textId="1461EEAF" w:rsidR="002472A6" w:rsidRPr="00D61A48" w:rsidRDefault="002E7161" w:rsidP="00F214DD">
            <w:pPr>
              <w:jc w:val="both"/>
              <w:rPr>
                <w:rFonts w:ascii="Arial" w:hAnsi="Arial" w:cs="Arial"/>
                <w:lang w:eastAsia="es-CR"/>
              </w:rPr>
            </w:pPr>
            <w:r>
              <w:rPr>
                <w:rFonts w:ascii="Arial" w:hAnsi="Arial" w:cs="Arial"/>
                <w:lang w:eastAsia="es-CR"/>
              </w:rPr>
              <w:t xml:space="preserve">            </w:t>
            </w:r>
            <w:r w:rsidR="00AF0F50" w:rsidRPr="00D61A48">
              <w:rPr>
                <w:rFonts w:ascii="Arial" w:hAnsi="Arial" w:cs="Arial"/>
                <w:lang w:eastAsia="es-CR"/>
              </w:rPr>
              <w:t>Juan Pablo Estada Gómez</w:t>
            </w:r>
          </w:p>
          <w:p w14:paraId="1CFF58F6" w14:textId="36D74121" w:rsidR="00AF0F50" w:rsidRPr="002E7161" w:rsidRDefault="002E7161" w:rsidP="00F214DD">
            <w:pPr>
              <w:jc w:val="both"/>
              <w:rPr>
                <w:rFonts w:ascii="Arial" w:hAnsi="Arial" w:cs="Arial"/>
                <w:b/>
                <w:lang w:eastAsia="es-CR"/>
              </w:rPr>
            </w:pPr>
            <w:r>
              <w:rPr>
                <w:rFonts w:ascii="Arial" w:hAnsi="Arial" w:cs="Arial"/>
                <w:lang w:eastAsia="es-CR"/>
              </w:rPr>
              <w:t xml:space="preserve">                          </w:t>
            </w:r>
            <w:r w:rsidR="00AF0F50" w:rsidRPr="002E7161">
              <w:rPr>
                <w:rFonts w:ascii="Arial" w:hAnsi="Arial" w:cs="Arial"/>
                <w:b/>
                <w:lang w:eastAsia="es-CR"/>
              </w:rPr>
              <w:t>Secretario</w:t>
            </w:r>
          </w:p>
          <w:p w14:paraId="4B191493" w14:textId="77777777" w:rsidR="00922B99" w:rsidRPr="00D61A48" w:rsidRDefault="00922B99" w:rsidP="00F214DD">
            <w:pPr>
              <w:jc w:val="both"/>
              <w:rPr>
                <w:rFonts w:ascii="Arial" w:hAnsi="Arial" w:cs="Arial"/>
                <w:lang w:eastAsia="es-CR"/>
              </w:rPr>
            </w:pPr>
          </w:p>
          <w:p w14:paraId="28B951A8" w14:textId="1C373667" w:rsidR="00922B99" w:rsidRPr="00D61A48" w:rsidRDefault="00922B99" w:rsidP="00F214DD">
            <w:pPr>
              <w:jc w:val="both"/>
              <w:rPr>
                <w:rFonts w:ascii="Arial" w:hAnsi="Arial" w:cs="Arial"/>
                <w:lang w:eastAsia="es-CR"/>
              </w:rPr>
            </w:pPr>
          </w:p>
        </w:tc>
      </w:tr>
    </w:tbl>
    <w:p w14:paraId="35C0678F" w14:textId="77777777" w:rsidR="00AF0F50" w:rsidRPr="005D5216" w:rsidRDefault="00AF0F50" w:rsidP="005D5216">
      <w:pPr>
        <w:jc w:val="both"/>
        <w:rPr>
          <w:rFonts w:ascii="Arial" w:hAnsi="Arial" w:cs="Arial"/>
          <w:spacing w:val="-11"/>
        </w:rPr>
      </w:pPr>
    </w:p>
    <w:sectPr w:rsidR="00AF0F50" w:rsidRPr="005D5216"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0"/>
  </w:num>
  <w:num w:numId="3">
    <w:abstractNumId w:val="11"/>
  </w:num>
  <w:num w:numId="4">
    <w:abstractNumId w:val="21"/>
  </w:num>
  <w:num w:numId="5">
    <w:abstractNumId w:val="13"/>
  </w:num>
  <w:num w:numId="6">
    <w:abstractNumId w:val="16"/>
  </w:num>
  <w:num w:numId="7">
    <w:abstractNumId w:val="15"/>
  </w:num>
  <w:num w:numId="8">
    <w:abstractNumId w:val="0"/>
  </w:num>
  <w:num w:numId="9">
    <w:abstractNumId w:val="9"/>
  </w:num>
  <w:num w:numId="10">
    <w:abstractNumId w:val="5"/>
  </w:num>
  <w:num w:numId="11">
    <w:abstractNumId w:val="10"/>
  </w:num>
  <w:num w:numId="12">
    <w:abstractNumId w:val="22"/>
  </w:num>
  <w:num w:numId="13">
    <w:abstractNumId w:val="6"/>
  </w:num>
  <w:num w:numId="14">
    <w:abstractNumId w:val="14"/>
  </w:num>
  <w:num w:numId="15">
    <w:abstractNumId w:val="2"/>
  </w:num>
  <w:num w:numId="16">
    <w:abstractNumId w:val="1"/>
  </w:num>
  <w:num w:numId="17">
    <w:abstractNumId w:val="8"/>
  </w:num>
  <w:num w:numId="18">
    <w:abstractNumId w:val="12"/>
  </w:num>
  <w:num w:numId="19">
    <w:abstractNumId w:val="17"/>
  </w:num>
  <w:num w:numId="20">
    <w:abstractNumId w:val="19"/>
  </w:num>
  <w:num w:numId="21">
    <w:abstractNumId w:val="23"/>
  </w:num>
  <w:num w:numId="22">
    <w:abstractNumId w:val="24"/>
  </w:num>
  <w:num w:numId="23">
    <w:abstractNumId w:val="18"/>
  </w:num>
  <w:num w:numId="24">
    <w:abstractNumId w:val="7"/>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1233"/>
    <w:rsid w:val="000444F6"/>
    <w:rsid w:val="00046A17"/>
    <w:rsid w:val="0005055D"/>
    <w:rsid w:val="00061427"/>
    <w:rsid w:val="00062523"/>
    <w:rsid w:val="00072FA3"/>
    <w:rsid w:val="00090FFE"/>
    <w:rsid w:val="000A319C"/>
    <w:rsid w:val="000B664E"/>
    <w:rsid w:val="000D15E4"/>
    <w:rsid w:val="000D49AB"/>
    <w:rsid w:val="000E05A6"/>
    <w:rsid w:val="000E1A89"/>
    <w:rsid w:val="000E4B29"/>
    <w:rsid w:val="000E65D8"/>
    <w:rsid w:val="000F3496"/>
    <w:rsid w:val="000F5C3D"/>
    <w:rsid w:val="000F6C7D"/>
    <w:rsid w:val="00101D37"/>
    <w:rsid w:val="0010465C"/>
    <w:rsid w:val="00140C09"/>
    <w:rsid w:val="00162095"/>
    <w:rsid w:val="00173C09"/>
    <w:rsid w:val="00183AC4"/>
    <w:rsid w:val="00196931"/>
    <w:rsid w:val="001A2AB9"/>
    <w:rsid w:val="001A56D4"/>
    <w:rsid w:val="001B15F0"/>
    <w:rsid w:val="001B2A1F"/>
    <w:rsid w:val="001B3BA7"/>
    <w:rsid w:val="001B6F9A"/>
    <w:rsid w:val="001C2CEC"/>
    <w:rsid w:val="001D7833"/>
    <w:rsid w:val="001F0DE7"/>
    <w:rsid w:val="001F6409"/>
    <w:rsid w:val="001F7017"/>
    <w:rsid w:val="0020517E"/>
    <w:rsid w:val="00217B83"/>
    <w:rsid w:val="00220445"/>
    <w:rsid w:val="0023536B"/>
    <w:rsid w:val="00240C82"/>
    <w:rsid w:val="00245DEA"/>
    <w:rsid w:val="002472A6"/>
    <w:rsid w:val="002777EA"/>
    <w:rsid w:val="00280E80"/>
    <w:rsid w:val="00285361"/>
    <w:rsid w:val="0028637F"/>
    <w:rsid w:val="00286B8E"/>
    <w:rsid w:val="00294AF4"/>
    <w:rsid w:val="00294E8B"/>
    <w:rsid w:val="00296406"/>
    <w:rsid w:val="00296C95"/>
    <w:rsid w:val="0029768C"/>
    <w:rsid w:val="002D0D1E"/>
    <w:rsid w:val="002D13F7"/>
    <w:rsid w:val="002D2169"/>
    <w:rsid w:val="002D2C02"/>
    <w:rsid w:val="002E43B6"/>
    <w:rsid w:val="002E7161"/>
    <w:rsid w:val="002F459A"/>
    <w:rsid w:val="0030764F"/>
    <w:rsid w:val="00317684"/>
    <w:rsid w:val="00352B52"/>
    <w:rsid w:val="003550E9"/>
    <w:rsid w:val="003555C6"/>
    <w:rsid w:val="00361661"/>
    <w:rsid w:val="00361B90"/>
    <w:rsid w:val="0036672F"/>
    <w:rsid w:val="003903B4"/>
    <w:rsid w:val="0039221C"/>
    <w:rsid w:val="003A280E"/>
    <w:rsid w:val="003B5F9A"/>
    <w:rsid w:val="003C0692"/>
    <w:rsid w:val="003C4DFD"/>
    <w:rsid w:val="003D04C3"/>
    <w:rsid w:val="003D4899"/>
    <w:rsid w:val="003E41DF"/>
    <w:rsid w:val="003E7AD8"/>
    <w:rsid w:val="003F21C7"/>
    <w:rsid w:val="00402BEE"/>
    <w:rsid w:val="00411D42"/>
    <w:rsid w:val="004130AE"/>
    <w:rsid w:val="004138E7"/>
    <w:rsid w:val="00420D3F"/>
    <w:rsid w:val="00420E4C"/>
    <w:rsid w:val="00422058"/>
    <w:rsid w:val="004263A9"/>
    <w:rsid w:val="00455587"/>
    <w:rsid w:val="004615E6"/>
    <w:rsid w:val="004616F1"/>
    <w:rsid w:val="00462179"/>
    <w:rsid w:val="004650A4"/>
    <w:rsid w:val="00466590"/>
    <w:rsid w:val="004A039B"/>
    <w:rsid w:val="004A24E1"/>
    <w:rsid w:val="004A3D4A"/>
    <w:rsid w:val="004B7A0C"/>
    <w:rsid w:val="004C06A5"/>
    <w:rsid w:val="004D1053"/>
    <w:rsid w:val="004D49D4"/>
    <w:rsid w:val="00506F3E"/>
    <w:rsid w:val="00513908"/>
    <w:rsid w:val="00531EC7"/>
    <w:rsid w:val="005358D3"/>
    <w:rsid w:val="00537D8E"/>
    <w:rsid w:val="005429E3"/>
    <w:rsid w:val="00552EEB"/>
    <w:rsid w:val="005731C9"/>
    <w:rsid w:val="00585157"/>
    <w:rsid w:val="00587219"/>
    <w:rsid w:val="005A1288"/>
    <w:rsid w:val="005A7674"/>
    <w:rsid w:val="005C3642"/>
    <w:rsid w:val="005D2EF8"/>
    <w:rsid w:val="005D3A4D"/>
    <w:rsid w:val="005D5216"/>
    <w:rsid w:val="005E70EC"/>
    <w:rsid w:val="005F0908"/>
    <w:rsid w:val="005F4597"/>
    <w:rsid w:val="00602B2F"/>
    <w:rsid w:val="00602B79"/>
    <w:rsid w:val="006031BC"/>
    <w:rsid w:val="006110B9"/>
    <w:rsid w:val="006163BB"/>
    <w:rsid w:val="00634932"/>
    <w:rsid w:val="00640650"/>
    <w:rsid w:val="00643988"/>
    <w:rsid w:val="00644422"/>
    <w:rsid w:val="006600EB"/>
    <w:rsid w:val="006802FA"/>
    <w:rsid w:val="00682D4C"/>
    <w:rsid w:val="00691572"/>
    <w:rsid w:val="006A1117"/>
    <w:rsid w:val="006A7D2C"/>
    <w:rsid w:val="006B262D"/>
    <w:rsid w:val="006C3333"/>
    <w:rsid w:val="006E0D45"/>
    <w:rsid w:val="006F04AE"/>
    <w:rsid w:val="006F0AA4"/>
    <w:rsid w:val="006F2C3E"/>
    <w:rsid w:val="006F7366"/>
    <w:rsid w:val="00712183"/>
    <w:rsid w:val="007161F0"/>
    <w:rsid w:val="007225CA"/>
    <w:rsid w:val="007230F2"/>
    <w:rsid w:val="0073577D"/>
    <w:rsid w:val="007370F0"/>
    <w:rsid w:val="00754C01"/>
    <w:rsid w:val="007655E8"/>
    <w:rsid w:val="00776096"/>
    <w:rsid w:val="00777324"/>
    <w:rsid w:val="00793CBD"/>
    <w:rsid w:val="007953DC"/>
    <w:rsid w:val="00796592"/>
    <w:rsid w:val="007B7BD4"/>
    <w:rsid w:val="007C13EB"/>
    <w:rsid w:val="007C4540"/>
    <w:rsid w:val="007C696D"/>
    <w:rsid w:val="007C6BF2"/>
    <w:rsid w:val="008051B9"/>
    <w:rsid w:val="00815836"/>
    <w:rsid w:val="0085174E"/>
    <w:rsid w:val="0088740C"/>
    <w:rsid w:val="0089032B"/>
    <w:rsid w:val="008A7A23"/>
    <w:rsid w:val="008C2D10"/>
    <w:rsid w:val="008C5E2B"/>
    <w:rsid w:val="008D56B5"/>
    <w:rsid w:val="008D6ACA"/>
    <w:rsid w:val="008E5802"/>
    <w:rsid w:val="00905E82"/>
    <w:rsid w:val="00907E64"/>
    <w:rsid w:val="00911E45"/>
    <w:rsid w:val="0091450C"/>
    <w:rsid w:val="00922B99"/>
    <w:rsid w:val="00925A7B"/>
    <w:rsid w:val="009271CD"/>
    <w:rsid w:val="00932721"/>
    <w:rsid w:val="00935AA1"/>
    <w:rsid w:val="0093645C"/>
    <w:rsid w:val="00944B0D"/>
    <w:rsid w:val="00957445"/>
    <w:rsid w:val="00960A3D"/>
    <w:rsid w:val="00961197"/>
    <w:rsid w:val="00964A13"/>
    <w:rsid w:val="00967F30"/>
    <w:rsid w:val="00981DC8"/>
    <w:rsid w:val="009B334B"/>
    <w:rsid w:val="009C5E5F"/>
    <w:rsid w:val="009C6F89"/>
    <w:rsid w:val="009E0113"/>
    <w:rsid w:val="009E314C"/>
    <w:rsid w:val="009F0CD8"/>
    <w:rsid w:val="009F39D2"/>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88E"/>
    <w:rsid w:val="00AE6C81"/>
    <w:rsid w:val="00AF0F50"/>
    <w:rsid w:val="00AF3AC5"/>
    <w:rsid w:val="00B00BF6"/>
    <w:rsid w:val="00B04B20"/>
    <w:rsid w:val="00B11AC2"/>
    <w:rsid w:val="00B17E66"/>
    <w:rsid w:val="00B22683"/>
    <w:rsid w:val="00B22E10"/>
    <w:rsid w:val="00B33DC8"/>
    <w:rsid w:val="00B35FB4"/>
    <w:rsid w:val="00B57798"/>
    <w:rsid w:val="00B81D0F"/>
    <w:rsid w:val="00B96C00"/>
    <w:rsid w:val="00B97B4E"/>
    <w:rsid w:val="00BA00FA"/>
    <w:rsid w:val="00BA3285"/>
    <w:rsid w:val="00BB2DD4"/>
    <w:rsid w:val="00BB705E"/>
    <w:rsid w:val="00BC2180"/>
    <w:rsid w:val="00BC249F"/>
    <w:rsid w:val="00BC56ED"/>
    <w:rsid w:val="00BD3778"/>
    <w:rsid w:val="00BD6D30"/>
    <w:rsid w:val="00BE40AB"/>
    <w:rsid w:val="00C103B0"/>
    <w:rsid w:val="00C14BF6"/>
    <w:rsid w:val="00C21ACB"/>
    <w:rsid w:val="00C228D6"/>
    <w:rsid w:val="00C241A3"/>
    <w:rsid w:val="00C33ACB"/>
    <w:rsid w:val="00C3489A"/>
    <w:rsid w:val="00C40A69"/>
    <w:rsid w:val="00C41CEF"/>
    <w:rsid w:val="00C47818"/>
    <w:rsid w:val="00C50859"/>
    <w:rsid w:val="00C52F6E"/>
    <w:rsid w:val="00C6319C"/>
    <w:rsid w:val="00C707DC"/>
    <w:rsid w:val="00C82CD8"/>
    <w:rsid w:val="00C86755"/>
    <w:rsid w:val="00C87D10"/>
    <w:rsid w:val="00C96EA6"/>
    <w:rsid w:val="00CA031F"/>
    <w:rsid w:val="00CC19D4"/>
    <w:rsid w:val="00CC4954"/>
    <w:rsid w:val="00CC6958"/>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A18D9"/>
    <w:rsid w:val="00DD5BE6"/>
    <w:rsid w:val="00DD76E0"/>
    <w:rsid w:val="00E00979"/>
    <w:rsid w:val="00E13760"/>
    <w:rsid w:val="00E23642"/>
    <w:rsid w:val="00E366CF"/>
    <w:rsid w:val="00E543FC"/>
    <w:rsid w:val="00E64080"/>
    <w:rsid w:val="00E64782"/>
    <w:rsid w:val="00E67F71"/>
    <w:rsid w:val="00E810D9"/>
    <w:rsid w:val="00E95C93"/>
    <w:rsid w:val="00EA595E"/>
    <w:rsid w:val="00EA6786"/>
    <w:rsid w:val="00EB3970"/>
    <w:rsid w:val="00ED2824"/>
    <w:rsid w:val="00ED3EA0"/>
    <w:rsid w:val="00ED5369"/>
    <w:rsid w:val="00EE1802"/>
    <w:rsid w:val="00EE2117"/>
    <w:rsid w:val="00EE273A"/>
    <w:rsid w:val="00EE637D"/>
    <w:rsid w:val="00F01612"/>
    <w:rsid w:val="00F11F9F"/>
    <w:rsid w:val="00F16EF2"/>
    <w:rsid w:val="00F214DD"/>
    <w:rsid w:val="00F40F38"/>
    <w:rsid w:val="00F474F0"/>
    <w:rsid w:val="00F54E3F"/>
    <w:rsid w:val="00F6462D"/>
    <w:rsid w:val="00F70FFC"/>
    <w:rsid w:val="00F8223B"/>
    <w:rsid w:val="00F84109"/>
    <w:rsid w:val="00F85A36"/>
    <w:rsid w:val="00FA0088"/>
    <w:rsid w:val="00FA3DA8"/>
    <w:rsid w:val="00FA4C3F"/>
    <w:rsid w:val="00FB2E30"/>
    <w:rsid w:val="00FB46E0"/>
    <w:rsid w:val="00FC0813"/>
    <w:rsid w:val="00FC3D9E"/>
    <w:rsid w:val="00FD57FB"/>
    <w:rsid w:val="00FE5196"/>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2</cp:revision>
  <cp:lastPrinted>2020-06-22T16:53:00Z</cp:lastPrinted>
  <dcterms:created xsi:type="dcterms:W3CDTF">2021-05-27T18:53:00Z</dcterms:created>
  <dcterms:modified xsi:type="dcterms:W3CDTF">2021-05-27T18:53:00Z</dcterms:modified>
</cp:coreProperties>
</file>