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52" w:rsidRDefault="00D40752">
      <w:pPr>
        <w:jc w:val="both"/>
        <w:rPr>
          <w:rFonts w:ascii="Arial" w:eastAsia="Arial" w:hAnsi="Arial" w:cs="Arial"/>
        </w:rPr>
      </w:pPr>
    </w:p>
    <w:p w:rsidR="00D40752" w:rsidRDefault="00FB2880">
      <w:pPr>
        <w:jc w:val="both"/>
        <w:rPr>
          <w:rFonts w:ascii="Arial" w:eastAsia="Arial" w:hAnsi="Arial" w:cs="Arial"/>
        </w:rPr>
      </w:pPr>
      <w:r>
        <w:rPr>
          <w:rFonts w:ascii="Arial" w:eastAsia="Arial" w:hAnsi="Arial" w:cs="Arial"/>
        </w:rPr>
        <w:object w:dxaOrig="2580" w:dyaOrig="1620" w14:anchorId="5B7AF9E7">
          <v:rect id="rectole0000000000" o:spid="_x0000_i1025" alt="" style="width:129pt;height:81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78001237" r:id="rId6"/>
        </w:object>
      </w:r>
    </w:p>
    <w:p w:rsidR="00FB2880" w:rsidRDefault="00FB2880">
      <w:pPr>
        <w:jc w:val="both"/>
        <w:rPr>
          <w:rFonts w:ascii="Arial" w:eastAsia="Arial" w:hAnsi="Arial" w:cs="Arial"/>
          <w:b/>
          <w:color w:val="000000"/>
        </w:rPr>
      </w:pPr>
    </w:p>
    <w:p w:rsidR="00D40752" w:rsidRDefault="00FB2880">
      <w:pPr>
        <w:jc w:val="both"/>
        <w:rPr>
          <w:rFonts w:ascii="Arial" w:eastAsia="Arial" w:hAnsi="Arial" w:cs="Arial"/>
          <w:b/>
          <w:color w:val="000000"/>
        </w:rPr>
      </w:pPr>
      <w:r>
        <w:rPr>
          <w:rFonts w:ascii="Arial" w:eastAsia="Arial" w:hAnsi="Arial" w:cs="Arial"/>
          <w:b/>
          <w:color w:val="000000"/>
        </w:rPr>
        <w:t>ACTA 183 /2021</w:t>
      </w:r>
    </w:p>
    <w:p w:rsidR="00D40752" w:rsidRDefault="00FB2880">
      <w:pPr>
        <w:jc w:val="both"/>
        <w:rPr>
          <w:rFonts w:ascii="Arial" w:eastAsia="Arial" w:hAnsi="Arial" w:cs="Arial"/>
          <w:b/>
          <w:color w:val="000000"/>
        </w:rPr>
      </w:pPr>
      <w:r>
        <w:rPr>
          <w:rFonts w:ascii="Arial" w:eastAsia="Arial" w:hAnsi="Arial" w:cs="Arial"/>
          <w:b/>
          <w:color w:val="000000"/>
        </w:rPr>
        <w:t>22-01-2021</w:t>
      </w:r>
    </w:p>
    <w:p w:rsidR="00D40752" w:rsidRDefault="00D40752">
      <w:pPr>
        <w:jc w:val="both"/>
        <w:rPr>
          <w:rFonts w:ascii="Arial" w:eastAsia="Arial" w:hAnsi="Arial" w:cs="Arial"/>
          <w:color w:val="000000"/>
        </w:rPr>
      </w:pPr>
    </w:p>
    <w:p w:rsidR="00D40752" w:rsidRDefault="00FB2880">
      <w:pPr>
        <w:jc w:val="both"/>
        <w:rPr>
          <w:rFonts w:ascii="Arial" w:eastAsia="Arial" w:hAnsi="Arial" w:cs="Arial"/>
          <w:color w:val="000000"/>
        </w:rPr>
      </w:pPr>
      <w:r>
        <w:rPr>
          <w:rFonts w:ascii="Arial" w:eastAsia="Arial" w:hAnsi="Arial" w:cs="Arial"/>
          <w:color w:val="000000"/>
        </w:rPr>
        <w:t xml:space="preserve">Sesión de Junta Directiva del Instituto de Prensa y Libertad de Expresión (IPLEX), realizada el 22 de enero 2021 las 6 p.m. con la asistencia </w:t>
      </w:r>
      <w:r w:rsidR="003E6EE7">
        <w:rPr>
          <w:rFonts w:ascii="Arial" w:eastAsia="Arial" w:hAnsi="Arial" w:cs="Arial"/>
          <w:color w:val="000000"/>
        </w:rPr>
        <w:t>virtual</w:t>
      </w:r>
      <w:r>
        <w:rPr>
          <w:rFonts w:ascii="Arial" w:eastAsia="Arial" w:hAnsi="Arial" w:cs="Arial"/>
          <w:color w:val="000000"/>
        </w:rPr>
        <w:t xml:space="preserve"> de los siguientes miembros:</w:t>
      </w:r>
    </w:p>
    <w:p w:rsidR="00D40752" w:rsidRDefault="00D40752">
      <w:pPr>
        <w:jc w:val="both"/>
        <w:rPr>
          <w:rFonts w:ascii="Arial" w:eastAsia="Arial" w:hAnsi="Arial" w:cs="Arial"/>
          <w:color w:val="000000"/>
        </w:rPr>
      </w:pPr>
    </w:p>
    <w:p w:rsidR="00D40752" w:rsidRDefault="00FB2880">
      <w:pPr>
        <w:jc w:val="both"/>
        <w:rPr>
          <w:rFonts w:ascii="Arial" w:eastAsia="Arial" w:hAnsi="Arial" w:cs="Arial"/>
          <w:color w:val="000000"/>
        </w:rPr>
      </w:pPr>
      <w:r>
        <w:rPr>
          <w:rFonts w:ascii="Arial" w:eastAsia="Arial" w:hAnsi="Arial" w:cs="Arial"/>
          <w:color w:val="000000"/>
        </w:rPr>
        <w:t xml:space="preserve">Presentes: Raúl </w:t>
      </w:r>
      <w:proofErr w:type="spellStart"/>
      <w:r>
        <w:rPr>
          <w:rFonts w:ascii="Arial" w:eastAsia="Arial" w:hAnsi="Arial" w:cs="Arial"/>
          <w:color w:val="000000"/>
        </w:rPr>
        <w:t>Silesky</w:t>
      </w:r>
      <w:proofErr w:type="spellEnd"/>
      <w:r>
        <w:rPr>
          <w:rFonts w:ascii="Arial" w:eastAsia="Arial" w:hAnsi="Arial" w:cs="Arial"/>
          <w:color w:val="000000"/>
        </w:rPr>
        <w:t xml:space="preserve"> Jiménez, Presidente; María de los Ángeles Gutiérrez Vargas, Vicepresidente; Juan Pablo Estrada Gómez, </w:t>
      </w:r>
      <w:proofErr w:type="gramStart"/>
      <w:r>
        <w:rPr>
          <w:rFonts w:ascii="Arial" w:eastAsia="Arial" w:hAnsi="Arial" w:cs="Arial"/>
          <w:color w:val="000000"/>
        </w:rPr>
        <w:t xml:space="preserve">Secretario; </w:t>
      </w:r>
      <w:r w:rsidR="003E6EE7">
        <w:rPr>
          <w:rFonts w:ascii="Arial" w:eastAsia="Arial" w:hAnsi="Arial" w:cs="Arial"/>
          <w:color w:val="000000"/>
        </w:rPr>
        <w:t xml:space="preserve"> </w:t>
      </w:r>
      <w:proofErr w:type="spellStart"/>
      <w:r w:rsidR="003E6EE7">
        <w:rPr>
          <w:rFonts w:ascii="Arial" w:eastAsia="Arial" w:hAnsi="Arial" w:cs="Arial"/>
          <w:color w:val="000000"/>
        </w:rPr>
        <w:t>Yanancy</w:t>
      </w:r>
      <w:proofErr w:type="spellEnd"/>
      <w:proofErr w:type="gramEnd"/>
      <w:r>
        <w:rPr>
          <w:rFonts w:ascii="Arial" w:eastAsia="Arial" w:hAnsi="Arial" w:cs="Arial"/>
          <w:color w:val="000000"/>
        </w:rPr>
        <w:t xml:space="preserve"> Noguera, Tesorera y Alejandro Delgado </w:t>
      </w:r>
      <w:proofErr w:type="spellStart"/>
      <w:r>
        <w:rPr>
          <w:rFonts w:ascii="Arial" w:eastAsia="Arial" w:hAnsi="Arial" w:cs="Arial"/>
          <w:color w:val="000000"/>
        </w:rPr>
        <w:t>Faith</w:t>
      </w:r>
      <w:proofErr w:type="spellEnd"/>
      <w:r>
        <w:rPr>
          <w:rFonts w:ascii="Arial" w:eastAsia="Arial" w:hAnsi="Arial" w:cs="Arial"/>
          <w:color w:val="000000"/>
        </w:rPr>
        <w:t>, Vocal II.</w:t>
      </w:r>
    </w:p>
    <w:p w:rsidR="00D40752" w:rsidRDefault="00D40752">
      <w:pPr>
        <w:jc w:val="both"/>
        <w:rPr>
          <w:rFonts w:ascii="Arial" w:eastAsia="Arial" w:hAnsi="Arial" w:cs="Arial"/>
          <w:color w:val="000000"/>
        </w:rPr>
      </w:pPr>
    </w:p>
    <w:p w:rsidR="00D40752" w:rsidRDefault="00FB2880">
      <w:pPr>
        <w:jc w:val="both"/>
        <w:rPr>
          <w:rFonts w:ascii="Arial" w:eastAsia="Arial" w:hAnsi="Arial" w:cs="Arial"/>
          <w:color w:val="000000"/>
        </w:rPr>
      </w:pPr>
      <w:r>
        <w:rPr>
          <w:rFonts w:ascii="Arial" w:eastAsia="Arial" w:hAnsi="Arial" w:cs="Arial"/>
          <w:color w:val="000000"/>
        </w:rPr>
        <w:t xml:space="preserve">Ausente con justificación: Rocío </w:t>
      </w:r>
      <w:proofErr w:type="spellStart"/>
      <w:r>
        <w:rPr>
          <w:rFonts w:ascii="Arial" w:eastAsia="Arial" w:hAnsi="Arial" w:cs="Arial"/>
          <w:color w:val="000000"/>
        </w:rPr>
        <w:t>Alvarez</w:t>
      </w:r>
      <w:proofErr w:type="spellEnd"/>
      <w:r>
        <w:rPr>
          <w:rFonts w:ascii="Arial" w:eastAsia="Arial" w:hAnsi="Arial" w:cs="Arial"/>
          <w:color w:val="000000"/>
        </w:rPr>
        <w:t xml:space="preserve"> </w:t>
      </w:r>
      <w:proofErr w:type="spellStart"/>
      <w:r>
        <w:rPr>
          <w:rFonts w:ascii="Arial" w:eastAsia="Arial" w:hAnsi="Arial" w:cs="Arial"/>
          <w:color w:val="000000"/>
        </w:rPr>
        <w:t>Olaso</w:t>
      </w:r>
      <w:proofErr w:type="spellEnd"/>
      <w:r>
        <w:rPr>
          <w:rFonts w:ascii="Arial" w:eastAsia="Arial" w:hAnsi="Arial" w:cs="Arial"/>
          <w:color w:val="000000"/>
        </w:rPr>
        <w:t>, Vocal I-Fi</w:t>
      </w:r>
      <w:r w:rsidR="003E6EE7">
        <w:rPr>
          <w:rFonts w:ascii="Arial" w:eastAsia="Arial" w:hAnsi="Arial" w:cs="Arial"/>
          <w:color w:val="000000"/>
        </w:rPr>
        <w:t>s</w:t>
      </w:r>
      <w:r>
        <w:rPr>
          <w:rFonts w:ascii="Arial" w:eastAsia="Arial" w:hAnsi="Arial" w:cs="Arial"/>
          <w:color w:val="000000"/>
        </w:rPr>
        <w:t xml:space="preserve">cal </w:t>
      </w:r>
      <w:proofErr w:type="spellStart"/>
      <w:r>
        <w:rPr>
          <w:rFonts w:ascii="Arial" w:eastAsia="Arial" w:hAnsi="Arial" w:cs="Arial"/>
          <w:color w:val="000000"/>
        </w:rPr>
        <w:t>a.i</w:t>
      </w:r>
      <w:r w:rsidR="003E6EE7">
        <w:rPr>
          <w:rFonts w:ascii="Arial" w:eastAsia="Arial" w:hAnsi="Arial" w:cs="Arial"/>
          <w:color w:val="000000"/>
        </w:rPr>
        <w:t>.</w:t>
      </w:r>
      <w:proofErr w:type="spellEnd"/>
    </w:p>
    <w:p w:rsidR="00D40752" w:rsidRDefault="00D40752">
      <w:pPr>
        <w:jc w:val="both"/>
        <w:rPr>
          <w:rFonts w:ascii="Arial" w:eastAsia="Arial" w:hAnsi="Arial" w:cs="Arial"/>
          <w:color w:val="000000"/>
        </w:rPr>
      </w:pPr>
    </w:p>
    <w:p w:rsidR="00D40752" w:rsidRDefault="00FB2880">
      <w:pPr>
        <w:jc w:val="both"/>
        <w:rPr>
          <w:rFonts w:ascii="Arial" w:eastAsia="Arial" w:hAnsi="Arial" w:cs="Arial"/>
          <w:b/>
          <w:color w:val="000000"/>
        </w:rPr>
      </w:pPr>
      <w:r>
        <w:rPr>
          <w:rFonts w:ascii="Arial" w:eastAsia="Arial" w:hAnsi="Arial" w:cs="Arial"/>
          <w:color w:val="000000"/>
        </w:rPr>
        <w:t>Artículo I:</w:t>
      </w:r>
      <w:r>
        <w:rPr>
          <w:rFonts w:ascii="Arial" w:eastAsia="Arial" w:hAnsi="Arial" w:cs="Arial"/>
          <w:b/>
          <w:color w:val="000000"/>
        </w:rPr>
        <w:t xml:space="preserve"> Aprobación Acta</w:t>
      </w:r>
    </w:p>
    <w:p w:rsidR="00D40752" w:rsidRDefault="00FB2880">
      <w:pPr>
        <w:jc w:val="both"/>
        <w:rPr>
          <w:rFonts w:ascii="Arial" w:eastAsia="Arial" w:hAnsi="Arial" w:cs="Arial"/>
        </w:rPr>
      </w:pPr>
      <w:r>
        <w:rPr>
          <w:rFonts w:ascii="Arial" w:eastAsia="Arial" w:hAnsi="Arial" w:cs="Arial"/>
          <w:color w:val="000000"/>
        </w:rPr>
        <w:t>Se aprueba el acta 182 de Junta Directiva</w:t>
      </w:r>
      <w:r>
        <w:rPr>
          <w:rFonts w:ascii="Arial" w:eastAsia="Arial" w:hAnsi="Arial" w:cs="Arial"/>
        </w:rPr>
        <w:t>.</w:t>
      </w:r>
    </w:p>
    <w:p w:rsidR="00D40752" w:rsidRDefault="00D40752">
      <w:pPr>
        <w:jc w:val="both"/>
        <w:rPr>
          <w:rFonts w:ascii="Arial" w:eastAsia="Arial" w:hAnsi="Arial" w:cs="Arial"/>
        </w:rPr>
      </w:pPr>
    </w:p>
    <w:p w:rsidR="00D40752" w:rsidRDefault="00FB2880">
      <w:pPr>
        <w:jc w:val="both"/>
        <w:rPr>
          <w:rFonts w:ascii="Arial" w:eastAsia="Arial" w:hAnsi="Arial" w:cs="Arial"/>
          <w:b/>
        </w:rPr>
      </w:pPr>
      <w:r>
        <w:rPr>
          <w:rFonts w:ascii="Arial" w:eastAsia="Arial" w:hAnsi="Arial" w:cs="Arial"/>
        </w:rPr>
        <w:t>Artículo II:</w:t>
      </w:r>
      <w:r>
        <w:rPr>
          <w:rFonts w:ascii="Arial" w:eastAsia="Arial" w:hAnsi="Arial" w:cs="Arial"/>
          <w:b/>
        </w:rPr>
        <w:t xml:space="preserve"> Informes</w:t>
      </w:r>
    </w:p>
    <w:p w:rsidR="00D40752" w:rsidRDefault="00FB2880">
      <w:pPr>
        <w:jc w:val="both"/>
        <w:rPr>
          <w:rFonts w:ascii="Arial" w:eastAsia="Arial" w:hAnsi="Arial" w:cs="Arial"/>
        </w:rPr>
      </w:pPr>
      <w:r>
        <w:rPr>
          <w:rFonts w:ascii="Arial" w:eastAsia="Arial" w:hAnsi="Arial" w:cs="Arial"/>
        </w:rPr>
        <w:t>Se informa del trabajo que ha realizado el Auxiliar del Instituto:</w:t>
      </w:r>
    </w:p>
    <w:p w:rsidR="00D40752" w:rsidRDefault="00D40752">
      <w:pPr>
        <w:jc w:val="both"/>
        <w:rPr>
          <w:rFonts w:ascii="Arial" w:eastAsia="Arial" w:hAnsi="Arial" w:cs="Arial"/>
        </w:rPr>
      </w:pPr>
    </w:p>
    <w:p w:rsidR="00D40752" w:rsidRDefault="00FB2880">
      <w:pPr>
        <w:jc w:val="both"/>
        <w:rPr>
          <w:rFonts w:ascii="Arial" w:eastAsia="Arial" w:hAnsi="Arial" w:cs="Arial"/>
          <w:b/>
          <w:color w:val="000000"/>
        </w:rPr>
      </w:pPr>
      <w:r>
        <w:rPr>
          <w:rFonts w:ascii="Arial" w:eastAsia="Arial" w:hAnsi="Arial" w:cs="Arial"/>
          <w:b/>
          <w:color w:val="000000"/>
        </w:rPr>
        <w:t>Informe labores 18 de diciembre- 22 de enero del 2021</w:t>
      </w:r>
      <w:r w:rsidR="003E6EE7">
        <w:rPr>
          <w:rFonts w:ascii="Arial" w:eastAsia="Arial" w:hAnsi="Arial" w:cs="Arial"/>
          <w:b/>
          <w:color w:val="000000"/>
        </w:rPr>
        <w:t>.</w:t>
      </w:r>
    </w:p>
    <w:p w:rsidR="003E6EE7" w:rsidRDefault="003E6EE7">
      <w:pPr>
        <w:jc w:val="both"/>
        <w:rPr>
          <w:rFonts w:ascii="Arial" w:eastAsia="Arial" w:hAnsi="Arial" w:cs="Arial"/>
          <w:b/>
          <w:color w:val="000000"/>
        </w:rPr>
      </w:pPr>
    </w:p>
    <w:p w:rsidR="00D40752" w:rsidRPr="003E6EE7"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18 de diciembre se procedió con el análisis normativo para evaluar la posibilidad para recibir al periodista Pena, de Colombia. Se opta por recordar que el periodista sea parte del programa después del mes de abril. </w:t>
      </w:r>
      <w:r>
        <w:rPr>
          <w:rFonts w:ascii="Arial" w:eastAsia="Arial" w:hAnsi="Arial" w:cs="Arial"/>
          <w:color w:val="222222"/>
          <w:highlight w:val="white"/>
        </w:rPr>
        <w:t>De acuerdo con lo anterior, la resolución DJUR-0132-09-2020-JM de la Dirección General de Migración y Extranjería en Costa Rica indica que la emisión de visado consular se verá cancelada hasta el 8 de febrero del 2021. Por lo que el Instituto de Prensa y Libertad de Expresión (IPLEX) podría recibir al señor Peña posterior al mes de marzo del 2021 a la luz del proceso que toma la solicitud de dicho visado y considerando que no se solicite una prórroga de lo estipulado en la resolución DJUR-0132-09-2020-JM. </w:t>
      </w:r>
    </w:p>
    <w:p w:rsidR="003E6EE7" w:rsidRDefault="003E6EE7" w:rsidP="003E6EE7">
      <w:pPr>
        <w:pBdr>
          <w:top w:val="nil"/>
          <w:left w:val="nil"/>
          <w:bottom w:val="nil"/>
          <w:right w:val="nil"/>
          <w:between w:val="nil"/>
        </w:pBdr>
        <w:spacing w:line="276" w:lineRule="auto"/>
        <w:ind w:left="720"/>
        <w:jc w:val="both"/>
        <w:rPr>
          <w:rFonts w:ascii="Arial" w:eastAsia="Arial" w:hAnsi="Arial" w:cs="Arial"/>
          <w:color w:val="000000"/>
        </w:rPr>
      </w:pPr>
    </w:p>
    <w:p w:rsidR="00D40752"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24 de diciembre se diseña la postal navideña del Instituto de Prensa y libertad de Expresión.</w:t>
      </w:r>
    </w:p>
    <w:p w:rsidR="003E6EE7" w:rsidRDefault="003E6EE7" w:rsidP="003E6EE7">
      <w:pPr>
        <w:pStyle w:val="Prrafodelista"/>
        <w:rPr>
          <w:rFonts w:ascii="Arial" w:eastAsia="Arial" w:hAnsi="Arial" w:cs="Arial"/>
          <w:color w:val="000000"/>
        </w:rPr>
      </w:pPr>
    </w:p>
    <w:p w:rsidR="003E6EE7" w:rsidRDefault="003E6EE7" w:rsidP="003E6EE7">
      <w:pPr>
        <w:pBdr>
          <w:top w:val="nil"/>
          <w:left w:val="nil"/>
          <w:bottom w:val="nil"/>
          <w:right w:val="nil"/>
          <w:between w:val="nil"/>
        </w:pBdr>
        <w:spacing w:line="276" w:lineRule="auto"/>
        <w:ind w:left="720"/>
        <w:jc w:val="both"/>
        <w:rPr>
          <w:rFonts w:ascii="Arial" w:eastAsia="Arial" w:hAnsi="Arial" w:cs="Arial"/>
          <w:color w:val="000000"/>
        </w:rPr>
      </w:pPr>
    </w:p>
    <w:p w:rsidR="00D40752"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El 29 de diciembre se realiza la guía "FECHAS IMPORTANTES 2021” la cual constituye a la planificación de todas las actividades administrativas del proyecto “Apoyo a periodistas en situación de riesgo”; planificación que abarca hasta agosto 2021.</w:t>
      </w:r>
    </w:p>
    <w:p w:rsidR="003E6EE7" w:rsidRDefault="003E6EE7" w:rsidP="003E6EE7">
      <w:pPr>
        <w:pBdr>
          <w:top w:val="nil"/>
          <w:left w:val="nil"/>
          <w:bottom w:val="nil"/>
          <w:right w:val="nil"/>
          <w:between w:val="nil"/>
        </w:pBdr>
        <w:spacing w:line="276" w:lineRule="auto"/>
        <w:ind w:left="720"/>
        <w:jc w:val="both"/>
        <w:rPr>
          <w:rFonts w:ascii="Arial" w:eastAsia="Arial" w:hAnsi="Arial" w:cs="Arial"/>
          <w:color w:val="000000"/>
        </w:rPr>
      </w:pPr>
    </w:p>
    <w:p w:rsidR="003E6EE7"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4 de enero inicia el proceso de contratación del servicio de Tigo.</w:t>
      </w:r>
    </w:p>
    <w:p w:rsidR="00D40752" w:rsidRDefault="00FB2880" w:rsidP="003E6EE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rsidR="00D40752"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Del 10 al 12 se coordina con Nicole de Punto y Aparte para la actualización de las actas del sitio web del IPLEX. En adelante, pueden ser subidas por mi persona.</w:t>
      </w:r>
    </w:p>
    <w:p w:rsidR="003E6EE7" w:rsidRDefault="003E6EE7" w:rsidP="003E6EE7">
      <w:pPr>
        <w:pBdr>
          <w:top w:val="nil"/>
          <w:left w:val="nil"/>
          <w:bottom w:val="nil"/>
          <w:right w:val="nil"/>
          <w:between w:val="nil"/>
        </w:pBdr>
        <w:spacing w:line="276" w:lineRule="auto"/>
        <w:jc w:val="both"/>
        <w:rPr>
          <w:rFonts w:ascii="Arial" w:eastAsia="Arial" w:hAnsi="Arial" w:cs="Arial"/>
          <w:color w:val="000000"/>
        </w:rPr>
      </w:pPr>
    </w:p>
    <w:p w:rsidR="00D40752"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13 de enero se realiza la visita al apartamento del proyecto “Apoyo a periodistas en situación de riesgo”, asimismo se procede al chequeo de inventario. Se reportan los bienes ausentes; se revisa la fuga de agua.</w:t>
      </w:r>
    </w:p>
    <w:p w:rsidR="00D61FD0" w:rsidRDefault="00D61FD0" w:rsidP="00D61FD0">
      <w:pPr>
        <w:pBdr>
          <w:top w:val="nil"/>
          <w:left w:val="nil"/>
          <w:bottom w:val="nil"/>
          <w:right w:val="nil"/>
          <w:between w:val="nil"/>
        </w:pBdr>
        <w:spacing w:line="276" w:lineRule="auto"/>
        <w:jc w:val="both"/>
        <w:rPr>
          <w:rFonts w:ascii="Arial" w:eastAsia="Arial" w:hAnsi="Arial" w:cs="Arial"/>
          <w:color w:val="000000"/>
        </w:rPr>
      </w:pPr>
    </w:p>
    <w:p w:rsidR="00D40752"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14 de enero se desarrollan los insumos denominados “Recopilación, procesamiento y comunicación de la información pública de COVID-19, así como información relacionada al proceso de vacunación”; lo anterior, para el pronunciamiento “Información sobre salud: Fortalecer la apertura de datos de públicos”. Por consiguiente, se publica el pronunciamiento el lunes 18 de enero vía Facebook y Twitter.</w:t>
      </w:r>
    </w:p>
    <w:p w:rsidR="00D61FD0" w:rsidRDefault="00D61FD0" w:rsidP="00D61FD0">
      <w:pPr>
        <w:pBdr>
          <w:top w:val="nil"/>
          <w:left w:val="nil"/>
          <w:bottom w:val="nil"/>
          <w:right w:val="nil"/>
          <w:between w:val="nil"/>
        </w:pBdr>
        <w:spacing w:line="276" w:lineRule="auto"/>
        <w:jc w:val="both"/>
        <w:rPr>
          <w:rFonts w:ascii="Arial" w:eastAsia="Arial" w:hAnsi="Arial" w:cs="Arial"/>
          <w:color w:val="000000"/>
        </w:rPr>
      </w:pPr>
    </w:p>
    <w:p w:rsidR="00D61FD0"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establece el plan de trabajo entre el IPLEX y ACCESA para la separación de funciones para el índice Latinoamericano de Transparencia Legislativa. En este sentido, el IPLEX es responsable de la aplicación de los insumos relacionados a la dimensión de Labor del Congreso y Participación ciudadana.</w:t>
      </w:r>
    </w:p>
    <w:p w:rsidR="00D40752" w:rsidRDefault="00FB2880" w:rsidP="00D61FD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rsidR="00D40752"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este sentido, se respond</w:t>
      </w:r>
      <w:r w:rsidR="00D61FD0">
        <w:rPr>
          <w:rFonts w:ascii="Arial" w:eastAsia="Arial" w:hAnsi="Arial" w:cs="Arial"/>
          <w:color w:val="000000"/>
        </w:rPr>
        <w:t>e al primer instrumento “DIMESIÓ</w:t>
      </w:r>
      <w:r>
        <w:rPr>
          <w:rFonts w:ascii="Arial" w:eastAsia="Arial" w:hAnsi="Arial" w:cs="Arial"/>
          <w:color w:val="000000"/>
        </w:rPr>
        <w:t>N: LABOR DEL CONGRESO” el 21 de enero del 2021. Dicho instrumento será afinado y posteriormente se aplicará una revisión entre pares con ACCESA. Dicho ejercicio se aplicará en los 4 instrumentos.</w:t>
      </w:r>
    </w:p>
    <w:p w:rsidR="00D61FD0" w:rsidRDefault="00D61FD0" w:rsidP="00D61FD0">
      <w:pPr>
        <w:pBdr>
          <w:top w:val="nil"/>
          <w:left w:val="nil"/>
          <w:bottom w:val="nil"/>
          <w:right w:val="nil"/>
          <w:between w:val="nil"/>
        </w:pBdr>
        <w:spacing w:line="276" w:lineRule="auto"/>
        <w:jc w:val="both"/>
        <w:rPr>
          <w:rFonts w:ascii="Arial" w:eastAsia="Arial" w:hAnsi="Arial" w:cs="Arial"/>
          <w:color w:val="000000"/>
        </w:rPr>
      </w:pPr>
    </w:p>
    <w:p w:rsidR="00D40752"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En virtud del retroceso de la salud de la periodista Navas, producto de su afectación por la COVID-19 </w:t>
      </w:r>
      <w:r>
        <w:rPr>
          <w:rFonts w:ascii="Arial" w:eastAsia="Arial" w:hAnsi="Arial" w:cs="Arial"/>
          <w:color w:val="222222"/>
        </w:rPr>
        <w:t>se ha optado por la modificación de su fecha de viaje para el lunes 15 de febrero del presente año, con retorno programada para el viernes 2 de abril del presente año.  Dichas fechas nos permiten cumplir con los objetivos planteados y la programación existente.  En caso de aceptar las fechas propuestas le solicitamos que nos confirme por este medio; asimismo en caso de aceptar, le solicitamos antes del viernes 29 de enero nos haga envío de su pasaporte y visado de los Estados Unidos.</w:t>
      </w:r>
    </w:p>
    <w:p w:rsidR="00D40752" w:rsidRDefault="00FB288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 Las labores de tesorería correspondiente en términos de ingreso de los gastos correspondientes y solicitud de restablecimiento de caja chica.”</w:t>
      </w:r>
    </w:p>
    <w:p w:rsidR="00D40752" w:rsidRDefault="00D40752">
      <w:pPr>
        <w:pBdr>
          <w:top w:val="nil"/>
          <w:left w:val="nil"/>
          <w:bottom w:val="nil"/>
          <w:right w:val="nil"/>
          <w:between w:val="nil"/>
        </w:pBdr>
        <w:spacing w:line="276" w:lineRule="auto"/>
        <w:ind w:left="720"/>
        <w:jc w:val="both"/>
        <w:rPr>
          <w:rFonts w:ascii="Arial" w:eastAsia="Arial" w:hAnsi="Arial" w:cs="Arial"/>
          <w:color w:val="000000"/>
        </w:rPr>
      </w:pPr>
    </w:p>
    <w:p w:rsidR="00D40752" w:rsidRDefault="00FB2880">
      <w:pPr>
        <w:numPr>
          <w:ilvl w:val="0"/>
          <w:numId w:val="4"/>
        </w:numPr>
        <w:pBdr>
          <w:top w:val="nil"/>
          <w:left w:val="nil"/>
          <w:bottom w:val="nil"/>
          <w:right w:val="nil"/>
          <w:between w:val="nil"/>
        </w:pBdr>
        <w:spacing w:line="276" w:lineRule="auto"/>
        <w:jc w:val="both"/>
        <w:rPr>
          <w:color w:val="0070C0"/>
        </w:rPr>
      </w:pPr>
      <w:r>
        <w:rPr>
          <w:rFonts w:ascii="Arial" w:eastAsia="Arial" w:hAnsi="Arial" w:cs="Arial"/>
          <w:color w:val="000000"/>
        </w:rPr>
        <w:t>Se han realizado las siguientes publicaciones:</w:t>
      </w:r>
    </w:p>
    <w:p w:rsidR="00D40752" w:rsidRDefault="00FB2880">
      <w:pPr>
        <w:numPr>
          <w:ilvl w:val="0"/>
          <w:numId w:val="2"/>
        </w:numPr>
        <w:pBdr>
          <w:top w:val="nil"/>
          <w:left w:val="nil"/>
          <w:bottom w:val="nil"/>
          <w:right w:val="nil"/>
          <w:between w:val="nil"/>
        </w:pBdr>
        <w:spacing w:line="276" w:lineRule="auto"/>
        <w:jc w:val="both"/>
        <w:rPr>
          <w:color w:val="000000"/>
          <w:highlight w:val="white"/>
        </w:rPr>
      </w:pPr>
      <w:r>
        <w:rPr>
          <w:rFonts w:ascii="Arial" w:eastAsia="Arial" w:hAnsi="Arial" w:cs="Arial"/>
          <w:color w:val="050505"/>
          <w:highlight w:val="white"/>
        </w:rPr>
        <w:t xml:space="preserve">El 23 de diciembre se divulgó un </w:t>
      </w:r>
      <w:r>
        <w:rPr>
          <w:rFonts w:ascii="Arial" w:eastAsia="Arial" w:hAnsi="Arial" w:cs="Arial"/>
          <w:b/>
          <w:color w:val="000000"/>
          <w:highlight w:val="white"/>
        </w:rPr>
        <w:t>saludo de navidad y año nuevo</w:t>
      </w:r>
      <w:r>
        <w:rPr>
          <w:rFonts w:ascii="Arial" w:eastAsia="Arial" w:hAnsi="Arial" w:cs="Arial"/>
          <w:color w:val="050505"/>
          <w:highlight w:val="white"/>
        </w:rPr>
        <w:t>.</w:t>
      </w:r>
    </w:p>
    <w:p w:rsidR="00D40752" w:rsidRDefault="00FB2880">
      <w:pPr>
        <w:numPr>
          <w:ilvl w:val="0"/>
          <w:numId w:val="2"/>
        </w:numPr>
        <w:pBdr>
          <w:top w:val="nil"/>
          <w:left w:val="nil"/>
          <w:bottom w:val="nil"/>
          <w:right w:val="nil"/>
          <w:between w:val="nil"/>
        </w:pBdr>
        <w:spacing w:line="276" w:lineRule="auto"/>
        <w:jc w:val="both"/>
        <w:rPr>
          <w:color w:val="000000"/>
          <w:highlight w:val="white"/>
        </w:rPr>
      </w:pPr>
      <w:r>
        <w:rPr>
          <w:rFonts w:ascii="Arial" w:eastAsia="Arial" w:hAnsi="Arial" w:cs="Arial"/>
          <w:color w:val="050505"/>
          <w:highlight w:val="white"/>
        </w:rPr>
        <w:t xml:space="preserve">El 06 de enero se divulgó el comunicado </w:t>
      </w:r>
      <w:proofErr w:type="spellStart"/>
      <w:r>
        <w:rPr>
          <w:rFonts w:ascii="Arial" w:eastAsia="Arial" w:hAnsi="Arial" w:cs="Arial"/>
          <w:b/>
          <w:color w:val="000000"/>
          <w:highlight w:val="white"/>
        </w:rPr>
        <w:t>Iplex</w:t>
      </w:r>
      <w:proofErr w:type="spellEnd"/>
      <w:r>
        <w:rPr>
          <w:rFonts w:ascii="Arial" w:eastAsia="Arial" w:hAnsi="Arial" w:cs="Arial"/>
          <w:b/>
          <w:color w:val="000000"/>
          <w:highlight w:val="white"/>
        </w:rPr>
        <w:t xml:space="preserve"> defiende acceso permanente a la información para los ciudadanos,</w:t>
      </w:r>
      <w:r>
        <w:rPr>
          <w:rFonts w:ascii="Arial" w:eastAsia="Arial" w:hAnsi="Arial" w:cs="Arial"/>
          <w:color w:val="000000"/>
          <w:highlight w:val="white"/>
        </w:rPr>
        <w:t xml:space="preserve"> sobre la clausura de confidencialidad con la empresa farmacéutica Pfizer.</w:t>
      </w:r>
    </w:p>
    <w:p w:rsidR="00D40752" w:rsidRDefault="00FB2880">
      <w:pPr>
        <w:numPr>
          <w:ilvl w:val="0"/>
          <w:numId w:val="2"/>
        </w:numPr>
        <w:pBdr>
          <w:top w:val="nil"/>
          <w:left w:val="nil"/>
          <w:bottom w:val="nil"/>
          <w:right w:val="nil"/>
          <w:between w:val="nil"/>
        </w:pBdr>
        <w:spacing w:after="200" w:line="276" w:lineRule="auto"/>
        <w:jc w:val="both"/>
        <w:rPr>
          <w:color w:val="000000"/>
        </w:rPr>
      </w:pPr>
      <w:r>
        <w:rPr>
          <w:rFonts w:ascii="Arial" w:eastAsia="Arial" w:hAnsi="Arial" w:cs="Arial"/>
          <w:color w:val="000000"/>
          <w:highlight w:val="white"/>
        </w:rPr>
        <w:t xml:space="preserve">El 18 de enero se dio a conocer el comunicado </w:t>
      </w:r>
      <w:r>
        <w:rPr>
          <w:rFonts w:ascii="Arial" w:eastAsia="Arial" w:hAnsi="Arial" w:cs="Arial"/>
          <w:b/>
          <w:color w:val="050505"/>
          <w:highlight w:val="white"/>
        </w:rPr>
        <w:t>Información sobre salud: Fortalecer la apertura de datos públicos.</w:t>
      </w:r>
    </w:p>
    <w:p w:rsidR="00D40752" w:rsidRDefault="00D40752">
      <w:pPr>
        <w:jc w:val="both"/>
        <w:rPr>
          <w:rFonts w:ascii="Arial" w:eastAsia="Arial" w:hAnsi="Arial" w:cs="Arial"/>
        </w:rPr>
      </w:pPr>
    </w:p>
    <w:p w:rsidR="00D40752" w:rsidRPr="00D61FD0" w:rsidRDefault="00FB2880">
      <w:pPr>
        <w:numPr>
          <w:ilvl w:val="0"/>
          <w:numId w:val="3"/>
        </w:numPr>
        <w:pBdr>
          <w:top w:val="nil"/>
          <w:left w:val="nil"/>
          <w:bottom w:val="nil"/>
          <w:right w:val="nil"/>
          <w:between w:val="nil"/>
        </w:pBdr>
        <w:spacing w:line="276" w:lineRule="auto"/>
        <w:jc w:val="both"/>
        <w:rPr>
          <w:color w:val="000000"/>
          <w:highlight w:val="white"/>
        </w:rPr>
      </w:pPr>
      <w:r>
        <w:rPr>
          <w:rFonts w:ascii="Arial" w:eastAsia="Arial" w:hAnsi="Arial" w:cs="Arial"/>
          <w:color w:val="000000"/>
          <w:highlight w:val="white"/>
        </w:rPr>
        <w:t xml:space="preserve">Se firmó el segundo desembolso de Open </w:t>
      </w:r>
      <w:proofErr w:type="spellStart"/>
      <w:r>
        <w:rPr>
          <w:rFonts w:ascii="Arial" w:eastAsia="Arial" w:hAnsi="Arial" w:cs="Arial"/>
          <w:color w:val="000000"/>
          <w:highlight w:val="white"/>
        </w:rPr>
        <w:t>Society</w:t>
      </w:r>
      <w:proofErr w:type="spellEnd"/>
      <w:r>
        <w:rPr>
          <w:rFonts w:ascii="Arial" w:eastAsia="Arial" w:hAnsi="Arial" w:cs="Arial"/>
          <w:color w:val="000000"/>
          <w:highlight w:val="white"/>
        </w:rPr>
        <w:t xml:space="preserve"> por 54,043.50USD que ingresarán en abril próximo. </w:t>
      </w:r>
      <w:r w:rsidR="00D61FD0">
        <w:rPr>
          <w:rFonts w:ascii="Arial" w:eastAsia="Arial" w:hAnsi="Arial" w:cs="Arial"/>
          <w:color w:val="000000"/>
          <w:highlight w:val="white"/>
        </w:rPr>
        <w:t>Está</w:t>
      </w:r>
      <w:r>
        <w:rPr>
          <w:rFonts w:ascii="Arial" w:eastAsia="Arial" w:hAnsi="Arial" w:cs="Arial"/>
          <w:color w:val="000000"/>
          <w:highlight w:val="white"/>
        </w:rPr>
        <w:t xml:space="preserve"> programado el informe financiero final el 31 de octubre del 2021 y el informe narrativo final en esa misma fecha.</w:t>
      </w:r>
    </w:p>
    <w:p w:rsidR="00D61FD0" w:rsidRDefault="00D61FD0" w:rsidP="00D61FD0">
      <w:pPr>
        <w:pBdr>
          <w:top w:val="nil"/>
          <w:left w:val="nil"/>
          <w:bottom w:val="nil"/>
          <w:right w:val="nil"/>
          <w:between w:val="nil"/>
        </w:pBdr>
        <w:spacing w:line="276" w:lineRule="auto"/>
        <w:ind w:left="720"/>
        <w:jc w:val="both"/>
        <w:rPr>
          <w:color w:val="000000"/>
          <w:highlight w:val="white"/>
        </w:rPr>
      </w:pPr>
    </w:p>
    <w:p w:rsidR="00D40752" w:rsidRDefault="00FB2880">
      <w:pPr>
        <w:numPr>
          <w:ilvl w:val="0"/>
          <w:numId w:val="3"/>
        </w:numPr>
        <w:pBdr>
          <w:top w:val="nil"/>
          <w:left w:val="nil"/>
          <w:bottom w:val="nil"/>
          <w:right w:val="nil"/>
          <w:between w:val="nil"/>
        </w:pBdr>
        <w:spacing w:after="200" w:line="276" w:lineRule="auto"/>
        <w:jc w:val="both"/>
        <w:rPr>
          <w:color w:val="000000"/>
          <w:highlight w:val="white"/>
        </w:rPr>
      </w:pPr>
      <w:r>
        <w:rPr>
          <w:rFonts w:ascii="Arial" w:eastAsia="Arial" w:hAnsi="Arial" w:cs="Arial"/>
          <w:color w:val="050505"/>
          <w:highlight w:val="white"/>
        </w:rPr>
        <w:t>Se coordinó con el secretario, el Auxiliar y la encargada del libro de actas para actualizarlas en la página del IPLEX.</w:t>
      </w:r>
    </w:p>
    <w:p w:rsidR="00D40752" w:rsidRDefault="00D40752">
      <w:pPr>
        <w:jc w:val="both"/>
        <w:rPr>
          <w:rFonts w:ascii="Arial" w:eastAsia="Arial" w:hAnsi="Arial" w:cs="Arial"/>
          <w:color w:val="000000"/>
          <w:highlight w:val="white"/>
        </w:rPr>
      </w:pPr>
    </w:p>
    <w:p w:rsidR="00D40752" w:rsidRDefault="00D40752">
      <w:pPr>
        <w:jc w:val="both"/>
        <w:rPr>
          <w:rFonts w:ascii="Arial" w:eastAsia="Arial" w:hAnsi="Arial" w:cs="Arial"/>
        </w:rPr>
      </w:pPr>
    </w:p>
    <w:p w:rsidR="00D40752" w:rsidRDefault="00FB2880">
      <w:pPr>
        <w:jc w:val="both"/>
        <w:rPr>
          <w:rFonts w:ascii="Arial" w:eastAsia="Arial" w:hAnsi="Arial" w:cs="Arial"/>
        </w:rPr>
      </w:pPr>
      <w:bookmarkStart w:id="0" w:name="_gjdgxs" w:colFirst="0" w:colLast="0"/>
      <w:bookmarkEnd w:id="0"/>
      <w:r>
        <w:rPr>
          <w:rFonts w:ascii="Arial" w:eastAsia="Arial" w:hAnsi="Arial" w:cs="Arial"/>
        </w:rPr>
        <w:t xml:space="preserve">Próxima sesión virtual de la Junta Directiva será </w:t>
      </w:r>
      <w:r w:rsidR="00D61FD0">
        <w:rPr>
          <w:rFonts w:ascii="Arial" w:eastAsia="Arial" w:hAnsi="Arial" w:cs="Arial"/>
        </w:rPr>
        <w:t>el viernes</w:t>
      </w:r>
      <w:r>
        <w:rPr>
          <w:rFonts w:ascii="Arial" w:eastAsia="Arial" w:hAnsi="Arial" w:cs="Arial"/>
        </w:rPr>
        <w:t xml:space="preserve"> 19 de febrero 2021 a las 06:00 p.m. </w:t>
      </w:r>
    </w:p>
    <w:p w:rsidR="00D40752" w:rsidRDefault="00D40752">
      <w:pPr>
        <w:jc w:val="both"/>
        <w:rPr>
          <w:rFonts w:ascii="Arial" w:eastAsia="Arial" w:hAnsi="Arial" w:cs="Arial"/>
          <w:b/>
          <w:color w:val="000000"/>
        </w:rPr>
      </w:pPr>
    </w:p>
    <w:p w:rsidR="00D40752" w:rsidRDefault="00D40752">
      <w:pPr>
        <w:jc w:val="both"/>
        <w:rPr>
          <w:rFonts w:ascii="Arial" w:eastAsia="Arial" w:hAnsi="Arial" w:cs="Arial"/>
          <w:b/>
          <w:color w:val="000000"/>
        </w:rPr>
      </w:pPr>
    </w:p>
    <w:p w:rsidR="00D40752" w:rsidRDefault="00D40752">
      <w:pPr>
        <w:jc w:val="both"/>
        <w:rPr>
          <w:rFonts w:ascii="Arial" w:eastAsia="Arial" w:hAnsi="Arial" w:cs="Arial"/>
        </w:rPr>
      </w:pPr>
    </w:p>
    <w:tbl>
      <w:tblPr>
        <w:tblStyle w:val="a"/>
        <w:tblW w:w="8384" w:type="dxa"/>
        <w:jc w:val="center"/>
        <w:tblInd w:w="0" w:type="dxa"/>
        <w:tblLayout w:type="fixed"/>
        <w:tblLook w:val="0400" w:firstRow="0" w:lastRow="0" w:firstColumn="0" w:lastColumn="0" w:noHBand="0" w:noVBand="1"/>
      </w:tblPr>
      <w:tblGrid>
        <w:gridCol w:w="4209"/>
        <w:gridCol w:w="4175"/>
      </w:tblGrid>
      <w:tr w:rsidR="00D40752" w:rsidTr="00D61FD0">
        <w:trPr>
          <w:trHeight w:val="1437"/>
          <w:jc w:val="center"/>
        </w:trPr>
        <w:tc>
          <w:tcPr>
            <w:tcW w:w="4209" w:type="dxa"/>
            <w:shd w:val="clear" w:color="auto" w:fill="auto"/>
          </w:tcPr>
          <w:p w:rsidR="00D40752" w:rsidRDefault="00FB2880">
            <w:pPr>
              <w:jc w:val="both"/>
              <w:rPr>
                <w:rFonts w:ascii="Arial" w:eastAsia="Arial" w:hAnsi="Arial" w:cs="Arial"/>
              </w:rPr>
            </w:pPr>
            <w:r>
              <w:rPr>
                <w:rFonts w:ascii="Arial" w:eastAsia="Arial" w:hAnsi="Arial" w:cs="Arial"/>
              </w:rPr>
              <w:t xml:space="preserve">Raúl </w:t>
            </w:r>
            <w:proofErr w:type="spellStart"/>
            <w:r>
              <w:rPr>
                <w:rFonts w:ascii="Arial" w:eastAsia="Arial" w:hAnsi="Arial" w:cs="Arial"/>
              </w:rPr>
              <w:t>Silesky</w:t>
            </w:r>
            <w:proofErr w:type="spellEnd"/>
            <w:r>
              <w:rPr>
                <w:rFonts w:ascii="Arial" w:eastAsia="Arial" w:hAnsi="Arial" w:cs="Arial"/>
              </w:rPr>
              <w:t xml:space="preserve"> Jiménez</w:t>
            </w:r>
          </w:p>
          <w:p w:rsidR="00D40752" w:rsidRPr="00D61FD0" w:rsidRDefault="00D61FD0">
            <w:pPr>
              <w:jc w:val="both"/>
              <w:rPr>
                <w:rFonts w:ascii="Arial" w:eastAsia="Arial" w:hAnsi="Arial" w:cs="Arial"/>
                <w:b/>
              </w:rPr>
            </w:pPr>
            <w:r>
              <w:rPr>
                <w:rFonts w:ascii="Arial" w:eastAsia="Arial" w:hAnsi="Arial" w:cs="Arial"/>
              </w:rPr>
              <w:t xml:space="preserve">        </w:t>
            </w:r>
            <w:r w:rsidR="00FB2880" w:rsidRPr="00D61FD0">
              <w:rPr>
                <w:rFonts w:ascii="Arial" w:eastAsia="Arial" w:hAnsi="Arial" w:cs="Arial"/>
                <w:b/>
              </w:rPr>
              <w:t>Presidente</w:t>
            </w:r>
          </w:p>
        </w:tc>
        <w:tc>
          <w:tcPr>
            <w:tcW w:w="4175" w:type="dxa"/>
            <w:shd w:val="clear" w:color="auto" w:fill="auto"/>
          </w:tcPr>
          <w:p w:rsidR="00D40752" w:rsidRDefault="00D61FD0">
            <w:pPr>
              <w:jc w:val="both"/>
              <w:rPr>
                <w:rFonts w:ascii="Arial" w:eastAsia="Arial" w:hAnsi="Arial" w:cs="Arial"/>
              </w:rPr>
            </w:pPr>
            <w:r>
              <w:rPr>
                <w:rFonts w:ascii="Arial" w:eastAsia="Arial" w:hAnsi="Arial" w:cs="Arial"/>
              </w:rPr>
              <w:t xml:space="preserve">           </w:t>
            </w:r>
            <w:r w:rsidR="00FB2880">
              <w:rPr>
                <w:rFonts w:ascii="Arial" w:eastAsia="Arial" w:hAnsi="Arial" w:cs="Arial"/>
              </w:rPr>
              <w:t>Juan Pablo Estada Gómez</w:t>
            </w:r>
          </w:p>
          <w:p w:rsidR="00D40752" w:rsidRPr="00D61FD0" w:rsidRDefault="00D61FD0">
            <w:pPr>
              <w:jc w:val="both"/>
              <w:rPr>
                <w:rFonts w:ascii="Arial" w:eastAsia="Arial" w:hAnsi="Arial" w:cs="Arial"/>
                <w:b/>
              </w:rPr>
            </w:pPr>
            <w:r>
              <w:rPr>
                <w:rFonts w:ascii="Arial" w:eastAsia="Arial" w:hAnsi="Arial" w:cs="Arial"/>
              </w:rPr>
              <w:t xml:space="preserve">                       </w:t>
            </w:r>
            <w:r w:rsidR="00FB2880" w:rsidRPr="00D61FD0">
              <w:rPr>
                <w:rFonts w:ascii="Arial" w:eastAsia="Arial" w:hAnsi="Arial" w:cs="Arial"/>
                <w:b/>
              </w:rPr>
              <w:t>Secretario</w:t>
            </w:r>
          </w:p>
          <w:p w:rsidR="00D40752" w:rsidRDefault="00D40752">
            <w:pPr>
              <w:jc w:val="both"/>
              <w:rPr>
                <w:rFonts w:ascii="Arial" w:eastAsia="Arial" w:hAnsi="Arial" w:cs="Arial"/>
              </w:rPr>
            </w:pPr>
          </w:p>
          <w:p w:rsidR="00D40752" w:rsidRDefault="00D40752">
            <w:pPr>
              <w:jc w:val="both"/>
              <w:rPr>
                <w:rFonts w:ascii="Arial" w:eastAsia="Arial" w:hAnsi="Arial" w:cs="Arial"/>
              </w:rPr>
            </w:pPr>
          </w:p>
        </w:tc>
      </w:tr>
    </w:tbl>
    <w:p w:rsidR="00D40752" w:rsidRDefault="00D40752">
      <w:pPr>
        <w:jc w:val="both"/>
        <w:rPr>
          <w:rFonts w:ascii="Arial" w:eastAsia="Arial" w:hAnsi="Arial" w:cs="Arial"/>
        </w:rPr>
      </w:pPr>
      <w:bookmarkStart w:id="1" w:name="_GoBack"/>
      <w:bookmarkEnd w:id="1"/>
    </w:p>
    <w:sectPr w:rsidR="00D4075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704"/>
    <w:multiLevelType w:val="multilevel"/>
    <w:tmpl w:val="44E6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4B29F9"/>
    <w:multiLevelType w:val="multilevel"/>
    <w:tmpl w:val="F3325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43768A"/>
    <w:multiLevelType w:val="multilevel"/>
    <w:tmpl w:val="A3489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444460"/>
    <w:multiLevelType w:val="multilevel"/>
    <w:tmpl w:val="9C26C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52"/>
    <w:rsid w:val="003E6EE7"/>
    <w:rsid w:val="00B824B5"/>
    <w:rsid w:val="00D40752"/>
    <w:rsid w:val="00D61FD0"/>
    <w:rsid w:val="00F61BFD"/>
    <w:rsid w:val="00FB28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DD44"/>
  <w15:docId w15:val="{3519B950-89BC-40CE-BDB7-633934BE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F3863"/>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3E6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Grettel</dc:creator>
  <cp:lastModifiedBy>Grettel</cp:lastModifiedBy>
  <cp:revision>2</cp:revision>
  <dcterms:created xsi:type="dcterms:W3CDTF">2021-03-23T16:41:00Z</dcterms:created>
  <dcterms:modified xsi:type="dcterms:W3CDTF">2021-03-23T16:41:00Z</dcterms:modified>
</cp:coreProperties>
</file>